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32FB" w14:textId="20791CEF" w:rsidR="00150780" w:rsidRPr="005128B2" w:rsidRDefault="00FE6AD1">
      <w:pPr>
        <w:rPr>
          <w:rFonts w:cstheme="minorHAnsi"/>
          <w:b/>
          <w:sz w:val="20"/>
          <w:szCs w:val="20"/>
        </w:rPr>
      </w:pPr>
      <w:r w:rsidRPr="005128B2">
        <w:rPr>
          <w:rFonts w:cstheme="minorHAnsi"/>
          <w:b/>
          <w:sz w:val="20"/>
          <w:szCs w:val="20"/>
        </w:rPr>
        <w:t>Číslo zápisu</w:t>
      </w:r>
      <w:r w:rsidR="00BD3A67" w:rsidRPr="005128B2">
        <w:rPr>
          <w:rFonts w:cstheme="minorHAnsi"/>
          <w:b/>
          <w:sz w:val="20"/>
          <w:szCs w:val="20"/>
        </w:rPr>
        <w:t>:   KV - 1</w:t>
      </w:r>
      <w:r w:rsidR="007A2563">
        <w:rPr>
          <w:rFonts w:cstheme="minorHAnsi"/>
          <w:b/>
          <w:sz w:val="20"/>
          <w:szCs w:val="20"/>
        </w:rPr>
        <w:t>6</w:t>
      </w:r>
      <w:r w:rsidR="00677390" w:rsidRPr="005128B2">
        <w:rPr>
          <w:rFonts w:cstheme="minorHAnsi"/>
          <w:b/>
          <w:sz w:val="20"/>
          <w:szCs w:val="20"/>
        </w:rPr>
        <w:t>/2025</w:t>
      </w:r>
    </w:p>
    <w:p w14:paraId="68A8836C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  <w:r w:rsidRPr="005128B2">
        <w:rPr>
          <w:rFonts w:eastAsia="Times New Roman" w:cstheme="minorHAnsi"/>
          <w:b/>
          <w:sz w:val="44"/>
          <w:szCs w:val="44"/>
          <w:lang w:eastAsia="cs-CZ"/>
        </w:rPr>
        <w:t xml:space="preserve">Zápis </w:t>
      </w:r>
    </w:p>
    <w:p w14:paraId="23C6C7F0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</w:p>
    <w:p w14:paraId="1BF105C6" w14:textId="597ADA1B" w:rsidR="00150780" w:rsidRPr="005128B2" w:rsidRDefault="008F523C" w:rsidP="0015078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z 1</w:t>
      </w:r>
      <w:r w:rsidR="007A2563">
        <w:rPr>
          <w:rFonts w:eastAsia="Times New Roman" w:cstheme="minorHAnsi"/>
          <w:b/>
          <w:sz w:val="20"/>
          <w:szCs w:val="20"/>
          <w:lang w:eastAsia="cs-CZ"/>
        </w:rPr>
        <w:t>6</w:t>
      </w:r>
      <w:r w:rsidR="00150780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. zasedání Kontrolního výboru Zastupitelstva </w:t>
      </w:r>
      <w:r w:rsidR="00877B57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města Kutná Hora konaného dne </w:t>
      </w:r>
      <w:r w:rsidR="007A2563">
        <w:rPr>
          <w:rFonts w:eastAsia="Times New Roman" w:cstheme="minorHAnsi"/>
          <w:b/>
          <w:sz w:val="20"/>
          <w:szCs w:val="20"/>
          <w:lang w:eastAsia="cs-CZ"/>
        </w:rPr>
        <w:t>15</w:t>
      </w:r>
      <w:r w:rsidR="006657EC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677390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 0</w:t>
      </w:r>
      <w:r w:rsidR="007A2563">
        <w:rPr>
          <w:rFonts w:eastAsia="Times New Roman" w:cstheme="minorHAnsi"/>
          <w:b/>
          <w:sz w:val="20"/>
          <w:szCs w:val="20"/>
          <w:lang w:eastAsia="cs-CZ"/>
        </w:rPr>
        <w:t>9</w:t>
      </w:r>
      <w:r w:rsidR="00CE4031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EB496F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677390" w:rsidRPr="005128B2">
        <w:rPr>
          <w:rFonts w:eastAsia="Times New Roman" w:cstheme="minorHAnsi"/>
          <w:b/>
          <w:sz w:val="20"/>
          <w:szCs w:val="20"/>
          <w:lang w:eastAsia="cs-CZ"/>
        </w:rPr>
        <w:t>2025</w:t>
      </w:r>
    </w:p>
    <w:p w14:paraId="087750A1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645CDFD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Místo konání: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Havlíčkovo náměstí 552/1, Kutná Hora – </w:t>
      </w:r>
      <w:r w:rsidR="00877B57" w:rsidRPr="00C17AFE">
        <w:rPr>
          <w:rFonts w:eastAsia="Times New Roman" w:cstheme="minorHAnsi"/>
          <w:sz w:val="20"/>
          <w:szCs w:val="20"/>
          <w:lang w:eastAsia="cs-CZ"/>
        </w:rPr>
        <w:t>zasedací místnost</w:t>
      </w:r>
    </w:p>
    <w:p w14:paraId="5A043384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2904EC63" w14:textId="172ABB78" w:rsidR="007A2563" w:rsidRPr="00C17AFE" w:rsidRDefault="00150780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Přítomni: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cstheme="minorHAnsi"/>
          <w:sz w:val="20"/>
          <w:szCs w:val="20"/>
        </w:rPr>
        <w:t>Mgr. Bc. Silvia Doušová, Ing. Jana Kuklová,</w:t>
      </w:r>
      <w:r w:rsidR="007A2563" w:rsidRPr="00C17AFE">
        <w:rPr>
          <w:rFonts w:cstheme="minorHAnsi"/>
          <w:sz w:val="20"/>
          <w:szCs w:val="20"/>
        </w:rPr>
        <w:t xml:space="preserve"> </w:t>
      </w:r>
      <w:r w:rsidR="00B135F2" w:rsidRPr="00C17AFE">
        <w:rPr>
          <w:rFonts w:cstheme="minorHAnsi"/>
          <w:sz w:val="20"/>
          <w:szCs w:val="20"/>
        </w:rPr>
        <w:t xml:space="preserve">Bc. Miroslava </w:t>
      </w:r>
      <w:proofErr w:type="spellStart"/>
      <w:r w:rsidR="00B135F2" w:rsidRPr="00C17AFE">
        <w:rPr>
          <w:rFonts w:cstheme="minorHAnsi"/>
          <w:sz w:val="20"/>
          <w:szCs w:val="20"/>
        </w:rPr>
        <w:t>Hebrová</w:t>
      </w:r>
      <w:proofErr w:type="spellEnd"/>
      <w:r w:rsidR="006E5613">
        <w:rPr>
          <w:rFonts w:cstheme="minorHAnsi"/>
          <w:sz w:val="20"/>
          <w:szCs w:val="20"/>
        </w:rPr>
        <w:t>,</w:t>
      </w:r>
    </w:p>
    <w:p w14:paraId="19B0E4B1" w14:textId="3CED4D02" w:rsidR="00150780" w:rsidRPr="00C17AFE" w:rsidRDefault="007A2563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ab/>
        <w:t>Ing. Jiří Řípa, Jana Buřičová, Bc. Tomáš Fišera, Bc. Jiří Šobr, Ludmila Jahodová</w:t>
      </w:r>
    </w:p>
    <w:p w14:paraId="32421CC3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2D56431A" w14:textId="12A4EE31" w:rsidR="00150780" w:rsidRPr="00C17AFE" w:rsidRDefault="00150780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Omluveni:</w:t>
      </w:r>
      <w:r w:rsidRPr="00C17AFE">
        <w:rPr>
          <w:rFonts w:cstheme="minorHAnsi"/>
          <w:sz w:val="20"/>
          <w:szCs w:val="20"/>
        </w:rPr>
        <w:tab/>
      </w:r>
      <w:r w:rsidR="00262CDE" w:rsidRPr="00C17AFE">
        <w:rPr>
          <w:rFonts w:cstheme="minorHAnsi"/>
          <w:sz w:val="20"/>
          <w:szCs w:val="20"/>
        </w:rPr>
        <w:t>Ing. Lukáš Jelínek</w:t>
      </w:r>
      <w:r w:rsidR="007A2563" w:rsidRPr="00C17AFE">
        <w:rPr>
          <w:rFonts w:cstheme="minorHAnsi"/>
          <w:sz w:val="20"/>
          <w:szCs w:val="20"/>
        </w:rPr>
        <w:t>, Mgr. Jiří Nedvěd, Ing. Mgr. Pavel Bezouška</w:t>
      </w:r>
    </w:p>
    <w:p w14:paraId="5E7B468D" w14:textId="77777777" w:rsidR="007A2563" w:rsidRPr="00C17AFE" w:rsidRDefault="007A2563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1590340" w14:textId="76B024A8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Neomluveni:</w:t>
      </w:r>
      <w:r w:rsidRPr="00C17AFE">
        <w:rPr>
          <w:rFonts w:cstheme="minorHAnsi"/>
          <w:sz w:val="20"/>
          <w:szCs w:val="20"/>
        </w:rPr>
        <w:tab/>
        <w:t>-------</w:t>
      </w:r>
    </w:p>
    <w:p w14:paraId="2EDEA10B" w14:textId="75D719B4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Hosté:</w:t>
      </w:r>
      <w:r w:rsidR="00CE4031" w:rsidRPr="00C17AFE">
        <w:rPr>
          <w:rFonts w:cstheme="minorHAnsi"/>
          <w:sz w:val="20"/>
          <w:szCs w:val="20"/>
        </w:rPr>
        <w:tab/>
      </w:r>
    </w:p>
    <w:p w14:paraId="2DD4E0F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72523DF" w14:textId="4B4C5D1F" w:rsidR="00E80042" w:rsidRPr="00C17AFE" w:rsidRDefault="00150780" w:rsidP="00196C8B">
      <w:pPr>
        <w:pStyle w:val="Odstavecseseznamem"/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Program jednání kontrolního výboru:</w:t>
      </w:r>
    </w:p>
    <w:p w14:paraId="4B9D409C" w14:textId="77777777" w:rsidR="00196C8B" w:rsidRPr="00C17AFE" w:rsidRDefault="00196C8B" w:rsidP="00196C8B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4E067FFA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Zahájení</w:t>
      </w:r>
    </w:p>
    <w:p w14:paraId="6A687ADA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Kontrola plnění usnesení RM/ZM</w:t>
      </w:r>
    </w:p>
    <w:p w14:paraId="453DDFA7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Aktualizace směrnice - Pravidla pro přijímání a vyřizování peticí, stížností, podnětů a žádostí</w:t>
      </w:r>
    </w:p>
    <w:p w14:paraId="71B9D711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 xml:space="preserve">Odměny vedoucích zaměstnanců Městského úřadu Kutná Hora </w:t>
      </w:r>
    </w:p>
    <w:p w14:paraId="017C995F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 xml:space="preserve">Složení výběrových komisí </w:t>
      </w:r>
    </w:p>
    <w:p w14:paraId="24147E19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 xml:space="preserve">Jednotný náhled do konsiliáře </w:t>
      </w:r>
    </w:p>
    <w:p w14:paraId="41363B7B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Obecně závazná vyhláška o nočním klidu</w:t>
      </w:r>
    </w:p>
    <w:p w14:paraId="5894BE14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Doplnění jednacího řádu KV</w:t>
      </w:r>
    </w:p>
    <w:p w14:paraId="5D4CE612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Různé</w:t>
      </w:r>
    </w:p>
    <w:p w14:paraId="6A233473" w14:textId="77777777" w:rsidR="007A2563" w:rsidRPr="00C17AFE" w:rsidRDefault="007A2563" w:rsidP="007A2563">
      <w:pPr>
        <w:numPr>
          <w:ilvl w:val="0"/>
          <w:numId w:val="2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C17AFE">
        <w:rPr>
          <w:rFonts w:eastAsia="Calibri" w:cstheme="minorHAnsi"/>
          <w:sz w:val="20"/>
          <w:szCs w:val="20"/>
        </w:rPr>
        <w:t>Závěr</w:t>
      </w:r>
    </w:p>
    <w:p w14:paraId="1718ED13" w14:textId="77777777" w:rsidR="00262CDE" w:rsidRPr="00C17AFE" w:rsidRDefault="00262CDE" w:rsidP="00262CD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CD513C6" w14:textId="62722A58" w:rsidR="00262CDE" w:rsidRPr="00C17AFE" w:rsidRDefault="00262CDE" w:rsidP="00262CD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Zaháje</w:t>
      </w:r>
      <w:r w:rsidR="000B2E6E" w:rsidRPr="00C17AFE">
        <w:rPr>
          <w:rFonts w:eastAsia="Times New Roman" w:cstheme="minorHAnsi"/>
          <w:b/>
          <w:sz w:val="20"/>
          <w:szCs w:val="20"/>
          <w:lang w:eastAsia="cs-CZ"/>
        </w:rPr>
        <w:t>n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>í</w:t>
      </w:r>
    </w:p>
    <w:p w14:paraId="40FB74E4" w14:textId="08B7BFB5" w:rsidR="00194765" w:rsidRPr="00C17AFE" w:rsidRDefault="00877B57" w:rsidP="00262CDE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Zasedání 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zahájila jeho předsedk</w:t>
      </w:r>
      <w:r w:rsidR="00EB496F" w:rsidRPr="00C17AFE">
        <w:rPr>
          <w:rFonts w:eastAsia="Times New Roman" w:cstheme="minorHAnsi"/>
          <w:sz w:val="20"/>
          <w:szCs w:val="20"/>
          <w:lang w:eastAsia="cs-CZ"/>
        </w:rPr>
        <w:t>yně</w:t>
      </w:r>
      <w:r w:rsidR="00CB227E" w:rsidRPr="00C17AFE">
        <w:rPr>
          <w:rFonts w:eastAsia="Times New Roman" w:cstheme="minorHAnsi"/>
          <w:sz w:val="20"/>
          <w:szCs w:val="20"/>
          <w:lang w:eastAsia="cs-CZ"/>
        </w:rPr>
        <w:t xml:space="preserve"> Mgr. Bc. Silvia Doušová v 17:05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hod a konstatovala, ž</w:t>
      </w:r>
      <w:r w:rsidR="007F54BD" w:rsidRPr="00C17AFE">
        <w:rPr>
          <w:rFonts w:eastAsia="Times New Roman" w:cstheme="minorHAnsi"/>
          <w:sz w:val="20"/>
          <w:szCs w:val="20"/>
          <w:lang w:eastAsia="cs-CZ"/>
        </w:rPr>
        <w:t xml:space="preserve">e </w:t>
      </w:r>
      <w:r w:rsidR="007A2563" w:rsidRPr="00C17AFE">
        <w:rPr>
          <w:rFonts w:eastAsia="Times New Roman" w:cstheme="minorHAnsi"/>
          <w:sz w:val="20"/>
          <w:szCs w:val="20"/>
          <w:lang w:eastAsia="cs-CZ"/>
        </w:rPr>
        <w:t>zasedání kontrolního výboru je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usnášeníschopné.</w:t>
      </w:r>
    </w:p>
    <w:p w14:paraId="3C145FB0" w14:textId="039A8115" w:rsidR="00150780" w:rsidRPr="00C17AFE" w:rsidRDefault="00150780" w:rsidP="00867AB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534A487" w14:textId="7E87DB33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Kontrola plnění usnesení RM/ZM</w:t>
      </w:r>
    </w:p>
    <w:p w14:paraId="3CF13F59" w14:textId="458C20A4" w:rsidR="008F523C" w:rsidRPr="00C17AFE" w:rsidRDefault="00C17AFE" w:rsidP="008F523C">
      <w:pPr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Byla</w:t>
      </w:r>
      <w:r w:rsidR="007A2563" w:rsidRPr="00C17AFE">
        <w:rPr>
          <w:rFonts w:eastAsia="Times New Roman" w:cstheme="minorHAnsi"/>
          <w:sz w:val="20"/>
          <w:szCs w:val="20"/>
          <w:lang w:eastAsia="cs-CZ"/>
        </w:rPr>
        <w:t xml:space="preserve"> opětovně diskutována </w:t>
      </w:r>
      <w:proofErr w:type="spellStart"/>
      <w:r w:rsidR="007A2563" w:rsidRPr="00C17AFE">
        <w:rPr>
          <w:rFonts w:eastAsia="Times New Roman" w:cstheme="minorHAnsi"/>
          <w:sz w:val="20"/>
          <w:szCs w:val="20"/>
          <w:lang w:eastAsia="cs-CZ"/>
        </w:rPr>
        <w:t>anonymizace</w:t>
      </w:r>
      <w:proofErr w:type="spellEnd"/>
      <w:r w:rsidR="007A2563" w:rsidRPr="00C17AFE">
        <w:rPr>
          <w:rFonts w:eastAsia="Times New Roman" w:cstheme="minorHAnsi"/>
          <w:sz w:val="20"/>
          <w:szCs w:val="20"/>
          <w:lang w:eastAsia="cs-CZ"/>
        </w:rPr>
        <w:t xml:space="preserve"> důvodových zpráv v Konsiliáři a nedostupnost kompletních údajů pro provádění kontroly</w:t>
      </w:r>
      <w:r w:rsidR="00251073" w:rsidRPr="00C17AFE">
        <w:rPr>
          <w:rFonts w:eastAsia="Times New Roman" w:cstheme="minorHAnsi"/>
          <w:sz w:val="20"/>
          <w:szCs w:val="20"/>
          <w:lang w:eastAsia="cs-CZ"/>
        </w:rPr>
        <w:t>.</w:t>
      </w:r>
    </w:p>
    <w:p w14:paraId="5E7A0B8A" w14:textId="77777777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Aktualizace směrnice - Pravidla pro přijímání a vyřizování peticí, stížností, podnětů a žádostí</w:t>
      </w:r>
    </w:p>
    <w:p w14:paraId="0B198DF2" w14:textId="26F747A0" w:rsidR="008F523C" w:rsidRPr="00C17AFE" w:rsidRDefault="008F523C" w:rsidP="008F523C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Vedoucí oddělení interního auditu přítomným </w:t>
      </w:r>
      <w:r w:rsidR="007A2563" w:rsidRPr="00C17AFE">
        <w:rPr>
          <w:rFonts w:eastAsia="Times New Roman" w:cstheme="minorHAnsi"/>
          <w:sz w:val="20"/>
          <w:szCs w:val="20"/>
          <w:lang w:eastAsia="cs-CZ"/>
        </w:rPr>
        <w:t xml:space="preserve">zaslala návrh nové Směrnice pro přijímání a vyřizování peticí, stížností, podnětů a žádostí. </w:t>
      </w:r>
    </w:p>
    <w:p w14:paraId="77838749" w14:textId="2BF81954" w:rsidR="007A2563" w:rsidRPr="00C17AFE" w:rsidRDefault="007A2563" w:rsidP="008F523C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Hlavní připomínkou k tomuto návrh</w:t>
      </w:r>
      <w:r w:rsidR="00C17AFE">
        <w:rPr>
          <w:rFonts w:eastAsia="Times New Roman" w:cstheme="minorHAnsi"/>
          <w:sz w:val="20"/>
          <w:szCs w:val="20"/>
          <w:lang w:eastAsia="cs-CZ"/>
        </w:rPr>
        <w:t>u ze strany členů kontrolního výboru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je zastaralé pojetí vedení evidence jednotlivých podání formou tabulky</w:t>
      </w:r>
      <w:r w:rsidR="006E5613">
        <w:rPr>
          <w:rFonts w:eastAsia="Times New Roman" w:cstheme="minorHAnsi"/>
          <w:sz w:val="20"/>
          <w:szCs w:val="20"/>
          <w:lang w:eastAsia="cs-CZ"/>
        </w:rPr>
        <w:t>,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ať už vedenou prostřednictvím </w:t>
      </w:r>
      <w:proofErr w:type="spellStart"/>
      <w:r w:rsidRPr="00C17AFE">
        <w:rPr>
          <w:rFonts w:eastAsia="Times New Roman" w:cstheme="minorHAnsi"/>
          <w:sz w:val="20"/>
          <w:szCs w:val="20"/>
          <w:lang w:eastAsia="cs-CZ"/>
        </w:rPr>
        <w:t>wordu</w:t>
      </w:r>
      <w:proofErr w:type="spellEnd"/>
      <w:r w:rsidRPr="00C17AFE">
        <w:rPr>
          <w:rFonts w:eastAsia="Times New Roman" w:cstheme="minorHAnsi"/>
          <w:sz w:val="20"/>
          <w:szCs w:val="20"/>
          <w:lang w:eastAsia="cs-CZ"/>
        </w:rPr>
        <w:t xml:space="preserve"> nebo </w:t>
      </w:r>
      <w:proofErr w:type="spellStart"/>
      <w:r w:rsidRPr="00C17AFE">
        <w:rPr>
          <w:rFonts w:eastAsia="Times New Roman" w:cstheme="minorHAnsi"/>
          <w:sz w:val="20"/>
          <w:szCs w:val="20"/>
          <w:lang w:eastAsia="cs-CZ"/>
        </w:rPr>
        <w:t>excelu</w:t>
      </w:r>
      <w:proofErr w:type="spellEnd"/>
      <w:r w:rsidR="006E5613">
        <w:rPr>
          <w:rFonts w:eastAsia="Times New Roman" w:cstheme="minorHAnsi"/>
          <w:sz w:val="20"/>
          <w:szCs w:val="20"/>
          <w:lang w:eastAsia="cs-CZ"/>
        </w:rPr>
        <w:t>, nicméně manuálně</w:t>
      </w:r>
      <w:r w:rsidR="00FE16BA" w:rsidRPr="00C17AFE">
        <w:rPr>
          <w:rFonts w:eastAsia="Times New Roman" w:cstheme="minorHAnsi"/>
          <w:sz w:val="20"/>
          <w:szCs w:val="20"/>
          <w:lang w:eastAsia="cs-CZ"/>
        </w:rPr>
        <w:t xml:space="preserve">. Členové kontrolního výboru se shodli na tom, že nejefektivnějším nástrojem pro vedení evidence by byl </w:t>
      </w:r>
      <w:r w:rsidR="006E5613">
        <w:rPr>
          <w:rFonts w:eastAsia="Times New Roman" w:cstheme="minorHAnsi"/>
          <w:sz w:val="20"/>
          <w:szCs w:val="20"/>
          <w:lang w:eastAsia="cs-CZ"/>
        </w:rPr>
        <w:t xml:space="preserve">elektronický </w:t>
      </w:r>
      <w:r w:rsidR="00FE16BA" w:rsidRPr="00C17AFE">
        <w:rPr>
          <w:rFonts w:eastAsia="Times New Roman" w:cstheme="minorHAnsi"/>
          <w:sz w:val="20"/>
          <w:szCs w:val="20"/>
          <w:lang w:eastAsia="cs-CZ"/>
        </w:rPr>
        <w:t>nástroj přímo napojený na spisovou službu.</w:t>
      </w:r>
    </w:p>
    <w:p w14:paraId="0CA59759" w14:textId="086365AF" w:rsidR="00FE16BA" w:rsidRPr="00C17AFE" w:rsidRDefault="00FE16BA" w:rsidP="008F523C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Úkol: Ing. Vágnerová s Ing. Řípou formulují požadavek vedení evidence podání v návaznosti na spisovou službu pro společnost GEOVAP prostřednictvím oddělení informatiky.</w:t>
      </w:r>
      <w:r w:rsidR="006E5613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74C33857" w14:textId="4ABB339C" w:rsidR="008F523C" w:rsidRDefault="008F523C" w:rsidP="008F523C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0AB7BBF8" w14:textId="45B2D9D5" w:rsidR="00C17AFE" w:rsidRDefault="00C17AFE" w:rsidP="008F523C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795B97D1" w14:textId="49DC2C27" w:rsidR="00C17AFE" w:rsidRDefault="00C17AFE" w:rsidP="008F523C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1E96BE7E" w14:textId="77777777" w:rsidR="00C17AFE" w:rsidRPr="00C17AFE" w:rsidRDefault="00C17AFE" w:rsidP="008F523C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1E61A23B" w14:textId="6024EB24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lastRenderedPageBreak/>
        <w:t xml:space="preserve">Odměny vedoucích zaměstnanců Městského úřadu Kutná Hora </w:t>
      </w:r>
    </w:p>
    <w:p w14:paraId="3AA98802" w14:textId="67F0650F" w:rsidR="00CB227E" w:rsidRPr="00C17AFE" w:rsidRDefault="00FE16BA" w:rsidP="00436F79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Předsedkyně kontrolního výboru přítomným shrnula závěry z předchozího jednání kontrolního výboru k odměnám vedoucích zaměstnanců Městského úřadu Kutná Hora</w:t>
      </w:r>
      <w:r w:rsidR="006E5613">
        <w:rPr>
          <w:rFonts w:eastAsia="Times New Roman" w:cstheme="minorHAnsi"/>
          <w:sz w:val="20"/>
          <w:szCs w:val="20"/>
          <w:lang w:eastAsia="cs-CZ"/>
        </w:rPr>
        <w:t>, především pro ty, kteří nebyli na jednání přítomni.</w:t>
      </w:r>
    </w:p>
    <w:p w14:paraId="47FCE1E6" w14:textId="77777777" w:rsidR="00CB227E" w:rsidRPr="00C17AFE" w:rsidRDefault="00CB227E" w:rsidP="00CB227E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2E3BF35A" w14:textId="393BEB35" w:rsidR="00FE16BA" w:rsidRPr="00C17AFE" w:rsidRDefault="008F523C" w:rsidP="00C17AFE">
      <w:pPr>
        <w:pStyle w:val="Odstavecseseznamem"/>
        <w:numPr>
          <w:ilvl w:val="0"/>
          <w:numId w:val="29"/>
        </w:numPr>
        <w:tabs>
          <w:tab w:val="left" w:pos="2835"/>
        </w:tabs>
        <w:spacing w:after="120" w:line="240" w:lineRule="auto"/>
        <w:ind w:left="714" w:hanging="357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Calibri" w:cstheme="minorHAnsi"/>
          <w:b/>
          <w:sz w:val="20"/>
          <w:szCs w:val="20"/>
        </w:rPr>
        <w:t>Složení výběrových komisí</w:t>
      </w:r>
    </w:p>
    <w:p w14:paraId="04631122" w14:textId="1178C915" w:rsidR="00FE16BA" w:rsidRPr="00C17AFE" w:rsidRDefault="00FE16BA" w:rsidP="00FE16BA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Předsedkyně kontrolního výboru přítomným shrnula závěry z předchozího jednání kontrolního výboru k složení výběrových komisí Městského úřadu Kutná Hora.</w:t>
      </w:r>
      <w:r w:rsidR="006E5613">
        <w:rPr>
          <w:rFonts w:eastAsia="Times New Roman" w:cstheme="minorHAnsi"/>
          <w:sz w:val="20"/>
          <w:szCs w:val="20"/>
          <w:lang w:eastAsia="cs-CZ"/>
        </w:rPr>
        <w:t xml:space="preserve"> Opět především pro ty, kteří nebyli na předchozím jednání přítomni.</w:t>
      </w:r>
    </w:p>
    <w:p w14:paraId="615FDF79" w14:textId="77777777" w:rsidR="00CB227E" w:rsidRPr="00C17AFE" w:rsidRDefault="00CB227E" w:rsidP="007F54BD">
      <w:pPr>
        <w:pStyle w:val="Odstavecseseznamem"/>
        <w:tabs>
          <w:tab w:val="left" w:pos="2835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14:paraId="0E4EB896" w14:textId="177BE899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Jednotný náhled do konsiliáře </w:t>
      </w:r>
    </w:p>
    <w:p w14:paraId="079700BD" w14:textId="2876C40E" w:rsidR="003E42FB" w:rsidRPr="00C17AFE" w:rsidRDefault="00DD13A0" w:rsidP="00C17AFE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Členové kontrolního výboru opakovaně diskutovali na téma jednotného náhledu do konsiliáře pro potřeby kontroly jednotlivých usnesení.</w:t>
      </w:r>
    </w:p>
    <w:p w14:paraId="6F4C07FA" w14:textId="76705A80" w:rsidR="003B060C" w:rsidRPr="00C17AFE" w:rsidRDefault="003B060C" w:rsidP="00C17AFE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Ve vztahu ke konsiliáři byla vznesena připomínka týkající se nejednotného přístupu jednotlivých referentů k </w:t>
      </w:r>
      <w:proofErr w:type="spellStart"/>
      <w:r w:rsidRPr="00C17AFE">
        <w:rPr>
          <w:rFonts w:eastAsia="Times New Roman" w:cstheme="minorHAnsi"/>
          <w:sz w:val="20"/>
          <w:szCs w:val="20"/>
          <w:lang w:eastAsia="cs-CZ"/>
        </w:rPr>
        <w:t>anonymizaci</w:t>
      </w:r>
      <w:proofErr w:type="spellEnd"/>
      <w:r w:rsidRPr="00C17AFE">
        <w:rPr>
          <w:rFonts w:eastAsia="Times New Roman" w:cstheme="minorHAnsi"/>
          <w:sz w:val="20"/>
          <w:szCs w:val="20"/>
          <w:lang w:eastAsia="cs-CZ"/>
        </w:rPr>
        <w:t xml:space="preserve"> osobních a citlivých údajů uváděných v důvodových zprávách a jednotlivých přílohách v Konsiliáři.</w:t>
      </w:r>
    </w:p>
    <w:p w14:paraId="10F1BD6E" w14:textId="77777777" w:rsidR="003B060C" w:rsidRPr="00C17AFE" w:rsidRDefault="003B060C" w:rsidP="003B060C">
      <w:pPr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I</w:t>
      </w:r>
    </w:p>
    <w:p w14:paraId="7B4E480A" w14:textId="0C61DD79" w:rsidR="003B060C" w:rsidRPr="00C17AFE" w:rsidRDefault="00D22084" w:rsidP="003B060C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Kontrol</w:t>
      </w:r>
      <w:r w:rsidR="007206B5">
        <w:rPr>
          <w:rFonts w:cstheme="minorHAnsi"/>
          <w:i/>
          <w:sz w:val="20"/>
          <w:szCs w:val="20"/>
        </w:rPr>
        <w:t>ní výbor města Kutná Hora doporučuje tajemníkovi Městského úřadu Kutná Hora</w:t>
      </w:r>
      <w:r>
        <w:rPr>
          <w:rFonts w:cstheme="minorHAnsi"/>
          <w:i/>
          <w:sz w:val="20"/>
          <w:szCs w:val="20"/>
        </w:rPr>
        <w:t xml:space="preserve"> </w:t>
      </w:r>
      <w:r w:rsidR="006E5613">
        <w:rPr>
          <w:rFonts w:cstheme="minorHAnsi"/>
          <w:i/>
          <w:sz w:val="20"/>
          <w:szCs w:val="20"/>
        </w:rPr>
        <w:t xml:space="preserve">nechat </w:t>
      </w:r>
      <w:r>
        <w:rPr>
          <w:rFonts w:cstheme="minorHAnsi"/>
          <w:i/>
          <w:sz w:val="20"/>
          <w:szCs w:val="20"/>
        </w:rPr>
        <w:t>v</w:t>
      </w:r>
      <w:r w:rsidR="003B060C" w:rsidRPr="00C17AFE">
        <w:rPr>
          <w:rFonts w:cstheme="minorHAnsi"/>
          <w:i/>
          <w:sz w:val="20"/>
          <w:szCs w:val="20"/>
        </w:rPr>
        <w:t>ytvořit metodický pokyn co a jak anonymizovat v důvodových zprávách a přílohách v</w:t>
      </w:r>
      <w:r w:rsidR="006E5613">
        <w:rPr>
          <w:rFonts w:cstheme="minorHAnsi"/>
          <w:i/>
          <w:sz w:val="20"/>
          <w:szCs w:val="20"/>
        </w:rPr>
        <w:t> </w:t>
      </w:r>
      <w:r w:rsidR="003B060C" w:rsidRPr="00C17AFE">
        <w:rPr>
          <w:rFonts w:cstheme="minorHAnsi"/>
          <w:i/>
          <w:sz w:val="20"/>
          <w:szCs w:val="20"/>
        </w:rPr>
        <w:t>Konsiliáři</w:t>
      </w:r>
      <w:r w:rsidR="006E5613">
        <w:rPr>
          <w:rFonts w:cstheme="minorHAnsi"/>
          <w:i/>
          <w:sz w:val="20"/>
          <w:szCs w:val="20"/>
        </w:rPr>
        <w:t>, tak aby to bylo platné pro veškeré odbory, které dokumenty anonymizují</w:t>
      </w:r>
      <w:r w:rsidR="003B060C" w:rsidRPr="00C17AFE">
        <w:rPr>
          <w:rFonts w:cstheme="minorHAnsi"/>
          <w:i/>
          <w:sz w:val="20"/>
          <w:szCs w:val="20"/>
        </w:rPr>
        <w:t xml:space="preserve">. </w:t>
      </w:r>
      <w:r w:rsidR="006E5613">
        <w:rPr>
          <w:rFonts w:cstheme="minorHAnsi"/>
          <w:i/>
          <w:sz w:val="20"/>
          <w:szCs w:val="20"/>
        </w:rPr>
        <w:t xml:space="preserve">Následně bude metodika předložena k připomínkám a schválení KV. </w:t>
      </w:r>
    </w:p>
    <w:p w14:paraId="052E9F86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68AA7CC4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Členové KV hlasovali následovně: </w:t>
      </w:r>
    </w:p>
    <w:p w14:paraId="6F816808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Pro: 8</w:t>
      </w:r>
    </w:p>
    <w:p w14:paraId="5280EC46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Proti: 0 </w:t>
      </w:r>
    </w:p>
    <w:p w14:paraId="36F50C87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Zdrželo se: 0</w:t>
      </w:r>
    </w:p>
    <w:p w14:paraId="71EE5B60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Nehlasovali: 0</w:t>
      </w:r>
    </w:p>
    <w:p w14:paraId="603464E3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Přítomni: 8</w:t>
      </w:r>
    </w:p>
    <w:p w14:paraId="550F51C6" w14:textId="1FEE8127" w:rsidR="003B060C" w:rsidRPr="00C17AFE" w:rsidRDefault="003B060C" w:rsidP="003B060C">
      <w:pPr>
        <w:tabs>
          <w:tab w:val="left" w:pos="2835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bylo schváleno.</w:t>
      </w:r>
    </w:p>
    <w:p w14:paraId="1BDD88CA" w14:textId="1CD57C23" w:rsidR="003B060C" w:rsidRPr="00C17AFE" w:rsidRDefault="003B060C" w:rsidP="003B060C">
      <w:pPr>
        <w:tabs>
          <w:tab w:val="left" w:pos="2835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7568141A" w14:textId="29E819B4" w:rsidR="003B060C" w:rsidRPr="00C17AFE" w:rsidRDefault="003B060C" w:rsidP="003B060C">
      <w:pPr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II</w:t>
      </w:r>
    </w:p>
    <w:p w14:paraId="4507FA85" w14:textId="217A2973" w:rsidR="003B060C" w:rsidRDefault="00D22084" w:rsidP="00C17AFE">
      <w:pPr>
        <w:tabs>
          <w:tab w:val="left" w:pos="283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Kontroln</w:t>
      </w:r>
      <w:r w:rsidR="007206B5">
        <w:rPr>
          <w:rFonts w:cstheme="minorHAnsi"/>
          <w:i/>
          <w:sz w:val="20"/>
          <w:szCs w:val="20"/>
        </w:rPr>
        <w:t>í výbor města Kutná Hora doporučuj</w:t>
      </w:r>
      <w:r w:rsidR="00816300">
        <w:rPr>
          <w:rFonts w:cstheme="minorHAnsi"/>
          <w:i/>
          <w:sz w:val="20"/>
          <w:szCs w:val="20"/>
        </w:rPr>
        <w:t>e</w:t>
      </w:r>
      <w:r>
        <w:rPr>
          <w:rFonts w:cstheme="minorHAnsi"/>
          <w:i/>
          <w:sz w:val="20"/>
          <w:szCs w:val="20"/>
        </w:rPr>
        <w:t xml:space="preserve"> j</w:t>
      </w:r>
      <w:r w:rsidR="00C17AFE">
        <w:rPr>
          <w:rFonts w:cstheme="minorHAnsi"/>
          <w:i/>
          <w:sz w:val="20"/>
          <w:szCs w:val="20"/>
        </w:rPr>
        <w:t>ednoznačně v</w:t>
      </w:r>
      <w:r w:rsidR="003B060C" w:rsidRPr="00C17AFE">
        <w:rPr>
          <w:rFonts w:cstheme="minorHAnsi"/>
          <w:i/>
          <w:sz w:val="20"/>
          <w:szCs w:val="20"/>
        </w:rPr>
        <w:t>ydefinovat jednotlivé role</w:t>
      </w:r>
      <w:r w:rsidR="00C17AFE">
        <w:rPr>
          <w:rFonts w:cstheme="minorHAnsi"/>
          <w:i/>
          <w:sz w:val="20"/>
          <w:szCs w:val="20"/>
        </w:rPr>
        <w:t xml:space="preserve"> (člen zastupitelstva, člen rady města, člen kontrolního a finančního výboru)</w:t>
      </w:r>
      <w:r w:rsidR="003B060C" w:rsidRPr="00C17AFE">
        <w:rPr>
          <w:rFonts w:cstheme="minorHAnsi"/>
          <w:i/>
          <w:sz w:val="20"/>
          <w:szCs w:val="20"/>
        </w:rPr>
        <w:t xml:space="preserve"> v konsiliáři a jejich omezení k přístupu k jednotlivým údajům.</w:t>
      </w:r>
    </w:p>
    <w:p w14:paraId="16F4DC73" w14:textId="4AB9D482" w:rsidR="00816300" w:rsidRDefault="00816300" w:rsidP="00C17AFE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61A69EC" w14:textId="703E38E1" w:rsidR="00816300" w:rsidRPr="00E24ADC" w:rsidRDefault="00816300" w:rsidP="00C17AFE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E24ADC">
        <w:rPr>
          <w:rFonts w:eastAsia="Times New Roman" w:cstheme="minorHAnsi"/>
          <w:i/>
          <w:sz w:val="20"/>
          <w:szCs w:val="20"/>
          <w:lang w:eastAsia="cs-CZ"/>
        </w:rPr>
        <w:t>Kontrolní výbor</w:t>
      </w:r>
      <w:r>
        <w:rPr>
          <w:rFonts w:eastAsia="Times New Roman" w:cstheme="minorHAnsi"/>
          <w:i/>
          <w:sz w:val="20"/>
          <w:szCs w:val="20"/>
          <w:lang w:eastAsia="cs-CZ"/>
        </w:rPr>
        <w:t xml:space="preserve"> doporučuje, aby byl konsiliář přístupný v plné míře všem členům zastupitelstva a členům kontrolního a finančního výboru, </w:t>
      </w:r>
      <w:proofErr w:type="spellStart"/>
      <w:r>
        <w:rPr>
          <w:rFonts w:eastAsia="Times New Roman" w:cstheme="minorHAnsi"/>
          <w:i/>
          <w:sz w:val="20"/>
          <w:szCs w:val="20"/>
          <w:lang w:eastAsia="cs-CZ"/>
        </w:rPr>
        <w:t>tj</w:t>
      </w:r>
      <w:proofErr w:type="spellEnd"/>
      <w:r>
        <w:rPr>
          <w:rFonts w:eastAsia="Times New Roman" w:cstheme="minorHAnsi"/>
          <w:i/>
          <w:sz w:val="20"/>
          <w:szCs w:val="20"/>
          <w:lang w:eastAsia="cs-CZ"/>
        </w:rPr>
        <w:t xml:space="preserve"> bez omezení vzhledem k podepsaným prohlášením o mlčenlivosti všech výše uvedených.</w:t>
      </w:r>
    </w:p>
    <w:p w14:paraId="5371D1C1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3E90307A" w14:textId="5451713B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Členové KV hlasovali následovně: </w:t>
      </w:r>
    </w:p>
    <w:p w14:paraId="3CA09382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Pro: 8</w:t>
      </w:r>
    </w:p>
    <w:p w14:paraId="7747BE3C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Proti: 0 </w:t>
      </w:r>
    </w:p>
    <w:p w14:paraId="165A061A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Zdrželo se: 0</w:t>
      </w:r>
    </w:p>
    <w:p w14:paraId="16A8C221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Nehlasovali: 0</w:t>
      </w:r>
    </w:p>
    <w:p w14:paraId="632C25AE" w14:textId="77777777" w:rsidR="003B060C" w:rsidRPr="00C17AFE" w:rsidRDefault="003B060C" w:rsidP="003B060C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Přítomni: 8</w:t>
      </w:r>
    </w:p>
    <w:p w14:paraId="2FAE7F2B" w14:textId="77777777" w:rsidR="003B060C" w:rsidRPr="00C17AFE" w:rsidRDefault="003B060C" w:rsidP="003B060C">
      <w:pPr>
        <w:tabs>
          <w:tab w:val="left" w:pos="2835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bylo schváleno.</w:t>
      </w:r>
    </w:p>
    <w:p w14:paraId="4F4CD131" w14:textId="77777777" w:rsidR="003B060C" w:rsidRPr="00C17AFE" w:rsidRDefault="003B060C" w:rsidP="00436F79">
      <w:pPr>
        <w:rPr>
          <w:rFonts w:eastAsia="Times New Roman" w:cstheme="minorHAnsi"/>
          <w:sz w:val="20"/>
          <w:szCs w:val="20"/>
          <w:lang w:eastAsia="cs-CZ"/>
        </w:rPr>
      </w:pPr>
    </w:p>
    <w:p w14:paraId="1473739D" w14:textId="5CE82EE7" w:rsidR="00DD13A0" w:rsidRPr="00C17AFE" w:rsidRDefault="00DD13A0" w:rsidP="008F523C">
      <w:pPr>
        <w:pStyle w:val="Odstavecseseznamem"/>
        <w:numPr>
          <w:ilvl w:val="0"/>
          <w:numId w:val="29"/>
        </w:num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Obecně závazná vyhláška o nočním klidu</w:t>
      </w:r>
    </w:p>
    <w:p w14:paraId="0F66D6B7" w14:textId="77777777" w:rsidR="00024986" w:rsidRDefault="00DD13A0" w:rsidP="00C12E2B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Byla diskutována problematika výkladu obecně závazné vyhlášky města Kutná Hora o nočním klidu. Vedoucí oddělení interního auditu přítomným sdělila, že se v poslední době množí dotazy na 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>jednoznačný výklad této OZV a to ve vztahu k</w:t>
      </w:r>
      <w:r w:rsidR="00024986">
        <w:rPr>
          <w:rFonts w:eastAsia="Times New Roman" w:cstheme="minorHAnsi"/>
          <w:sz w:val="20"/>
          <w:szCs w:val="20"/>
          <w:lang w:eastAsia="cs-CZ"/>
        </w:rPr>
        <w:t> 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>výjimce</w:t>
      </w:r>
      <w:r w:rsidR="00024986">
        <w:rPr>
          <w:rFonts w:eastAsia="Times New Roman" w:cstheme="minorHAnsi"/>
          <w:sz w:val="20"/>
          <w:szCs w:val="20"/>
          <w:lang w:eastAsia="cs-CZ"/>
        </w:rPr>
        <w:t xml:space="preserve"> z nočního klidu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>, která je udělena konkrétnímu pořadateli</w:t>
      </w:r>
      <w:r w:rsidR="00024986">
        <w:rPr>
          <w:rFonts w:eastAsia="Times New Roman" w:cstheme="minorHAnsi"/>
          <w:sz w:val="20"/>
          <w:szCs w:val="20"/>
          <w:lang w:eastAsia="cs-CZ"/>
        </w:rPr>
        <w:t>,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 xml:space="preserve"> a ostatním pořadatelům „hlučných“ akcí (zejména soukromého charakteru</w:t>
      </w:r>
      <w:r w:rsidR="00024986">
        <w:rPr>
          <w:rFonts w:eastAsia="Times New Roman" w:cstheme="minorHAnsi"/>
          <w:sz w:val="20"/>
          <w:szCs w:val="20"/>
          <w:lang w:eastAsia="cs-CZ"/>
        </w:rPr>
        <w:t xml:space="preserve"> -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 xml:space="preserve"> svatby, </w:t>
      </w:r>
      <w:r w:rsidR="00024986">
        <w:rPr>
          <w:rFonts w:eastAsia="Times New Roman" w:cstheme="minorHAnsi"/>
          <w:sz w:val="20"/>
          <w:szCs w:val="20"/>
          <w:lang w:eastAsia="cs-CZ"/>
        </w:rPr>
        <w:t xml:space="preserve">rodinné </w:t>
      </w:r>
      <w:r w:rsidR="00C12E2B" w:rsidRPr="00C17AFE">
        <w:rPr>
          <w:rFonts w:eastAsia="Times New Roman" w:cstheme="minorHAnsi"/>
          <w:sz w:val="20"/>
          <w:szCs w:val="20"/>
          <w:lang w:eastAsia="cs-CZ"/>
        </w:rPr>
        <w:t xml:space="preserve">oslavy) v totožném termínu na celém území Kutné Hory. </w:t>
      </w:r>
    </w:p>
    <w:p w14:paraId="1B73EDAB" w14:textId="77777777" w:rsidR="00024986" w:rsidRDefault="00024986" w:rsidP="00C12E2B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25C4AAE" w14:textId="36ACCD24" w:rsidR="00DD13A0" w:rsidRDefault="00C12E2B" w:rsidP="00C12E2B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Byla diskutována otázka teritoriálního vymezení – tj. </w:t>
      </w:r>
      <w:r w:rsidR="00024986">
        <w:rPr>
          <w:rFonts w:eastAsia="Times New Roman" w:cstheme="minorHAnsi"/>
          <w:sz w:val="20"/>
          <w:szCs w:val="20"/>
          <w:lang w:eastAsia="cs-CZ"/>
        </w:rPr>
        <w:t xml:space="preserve"> zda by 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bylo by možné teritoriálně oddělit výjimky udělené na </w:t>
      </w:r>
      <w:r w:rsidR="00D22084">
        <w:rPr>
          <w:rFonts w:eastAsia="Times New Roman" w:cstheme="minorHAnsi"/>
          <w:sz w:val="20"/>
          <w:szCs w:val="20"/>
          <w:lang w:eastAsia="cs-CZ"/>
        </w:rPr>
        <w:t xml:space="preserve">místních částech </w:t>
      </w:r>
      <w:r w:rsidRPr="00C17AFE">
        <w:rPr>
          <w:rFonts w:eastAsia="Times New Roman" w:cstheme="minorHAnsi"/>
          <w:sz w:val="20"/>
          <w:szCs w:val="20"/>
          <w:lang w:eastAsia="cs-CZ"/>
        </w:rPr>
        <w:t>Kutné Hory</w:t>
      </w:r>
      <w:r w:rsidR="00024986">
        <w:rPr>
          <w:rFonts w:eastAsia="Times New Roman" w:cstheme="minorHAnsi"/>
          <w:sz w:val="20"/>
          <w:szCs w:val="20"/>
          <w:lang w:eastAsia="cs-CZ"/>
        </w:rPr>
        <w:t>.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Jednoznačnost výkladu platnosti výjimek a možnost teritoriálního vymezení bude ověřena na Ministerstvu vnitra České republiky na odboru dozoru a kontroly. </w:t>
      </w:r>
    </w:p>
    <w:p w14:paraId="1E46BFB6" w14:textId="77777777" w:rsidR="00D22084" w:rsidRDefault="00D22084" w:rsidP="00C12E2B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32B8F8B" w14:textId="77777777" w:rsidR="00024986" w:rsidRPr="00C17AFE" w:rsidRDefault="00024986" w:rsidP="00C12E2B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9F2B613" w14:textId="360D8263" w:rsidR="00C12E2B" w:rsidRPr="00C17AFE" w:rsidRDefault="002E7B07" w:rsidP="00C12E2B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Doplnění Statutu</w:t>
      </w:r>
      <w:r w:rsidR="00C12E2B"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 KV</w:t>
      </w:r>
    </w:p>
    <w:p w14:paraId="11416557" w14:textId="4D77CA26" w:rsidR="00C12E2B" w:rsidRPr="00C17AFE" w:rsidRDefault="00C12E2B" w:rsidP="0002498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Členové </w:t>
      </w:r>
      <w:r w:rsidR="002E7B07" w:rsidRPr="00C17AFE">
        <w:rPr>
          <w:rFonts w:eastAsia="Times New Roman" w:cstheme="minorHAnsi"/>
          <w:sz w:val="20"/>
          <w:szCs w:val="20"/>
          <w:lang w:eastAsia="cs-CZ"/>
        </w:rPr>
        <w:t xml:space="preserve">kontrolního výboru se shodli, že je potřeba stávající Statut Kontrolního výboru města Kutná Hora doplnit o možnost hlasovat per </w:t>
      </w:r>
      <w:proofErr w:type="spellStart"/>
      <w:r w:rsidR="002E7B07" w:rsidRPr="00C17AFE">
        <w:rPr>
          <w:rFonts w:eastAsia="Times New Roman" w:cstheme="minorHAnsi"/>
          <w:sz w:val="20"/>
          <w:szCs w:val="20"/>
          <w:lang w:eastAsia="cs-CZ"/>
        </w:rPr>
        <w:t>rollam</w:t>
      </w:r>
      <w:proofErr w:type="spellEnd"/>
      <w:r w:rsidR="002E7B07" w:rsidRPr="00C17AFE">
        <w:rPr>
          <w:rFonts w:eastAsia="Times New Roman" w:cstheme="minorHAnsi"/>
          <w:sz w:val="20"/>
          <w:szCs w:val="20"/>
          <w:lang w:eastAsia="cs-CZ"/>
        </w:rPr>
        <w:t xml:space="preserve"> a umožnit jednání hybridní formou tj. prezenčně i on-line.</w:t>
      </w:r>
    </w:p>
    <w:p w14:paraId="0792EEEC" w14:textId="2AE4826B" w:rsidR="002E7B07" w:rsidRPr="00C17AFE" w:rsidRDefault="002E7B07" w:rsidP="00C12E2B">
      <w:pPr>
        <w:tabs>
          <w:tab w:val="left" w:pos="2835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3C57E16" w14:textId="6D137803" w:rsidR="002E7B07" w:rsidRPr="00C17AFE" w:rsidRDefault="002E7B07" w:rsidP="002E7B07">
      <w:pPr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I</w:t>
      </w:r>
      <w:r w:rsidR="00D22084">
        <w:rPr>
          <w:rFonts w:cstheme="minorHAnsi"/>
          <w:i/>
          <w:sz w:val="20"/>
          <w:szCs w:val="20"/>
        </w:rPr>
        <w:t>II</w:t>
      </w:r>
    </w:p>
    <w:p w14:paraId="102E1AC4" w14:textId="58B59517" w:rsidR="002E7B07" w:rsidRPr="00C17AFE" w:rsidRDefault="00D22084" w:rsidP="002E7B07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Kontrolní výbor města Kutná Hora doplňuje </w:t>
      </w:r>
      <w:r w:rsidR="002E7B07" w:rsidRPr="00C17AFE">
        <w:rPr>
          <w:rFonts w:cstheme="minorHAnsi"/>
          <w:i/>
          <w:sz w:val="20"/>
          <w:szCs w:val="20"/>
        </w:rPr>
        <w:t>Statut Kontrol</w:t>
      </w:r>
      <w:r>
        <w:rPr>
          <w:rFonts w:cstheme="minorHAnsi"/>
          <w:i/>
          <w:sz w:val="20"/>
          <w:szCs w:val="20"/>
        </w:rPr>
        <w:t>ního výboru města Kutná Hora článek III Jednání kontrolního výboru o následující body:</w:t>
      </w:r>
    </w:p>
    <w:p w14:paraId="2FFAB2D6" w14:textId="314EEC91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3BD637CA" w14:textId="12556509" w:rsidR="002E7B07" w:rsidRPr="00C17AFE" w:rsidRDefault="00FD35E3" w:rsidP="002E7B07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Do bodu 2 je doplněna věta: </w:t>
      </w:r>
      <w:r w:rsidR="002E7B07" w:rsidRPr="00C17AFE">
        <w:rPr>
          <w:rFonts w:cstheme="minorHAnsi"/>
          <w:i/>
          <w:sz w:val="20"/>
          <w:szCs w:val="20"/>
        </w:rPr>
        <w:t xml:space="preserve">Ve výjimečných případech, kdy dané usnesení nesnese odklad, je možné hlasovat per </w:t>
      </w:r>
      <w:proofErr w:type="spellStart"/>
      <w:r w:rsidR="002E7B07" w:rsidRPr="00C17AFE">
        <w:rPr>
          <w:rFonts w:cstheme="minorHAnsi"/>
          <w:i/>
          <w:sz w:val="20"/>
          <w:szCs w:val="20"/>
        </w:rPr>
        <w:t>rollam</w:t>
      </w:r>
      <w:proofErr w:type="spellEnd"/>
      <w:r w:rsidR="002E7B07" w:rsidRPr="00C17AFE">
        <w:rPr>
          <w:rFonts w:cstheme="minorHAnsi"/>
          <w:i/>
          <w:sz w:val="20"/>
          <w:szCs w:val="20"/>
        </w:rPr>
        <w:t>.</w:t>
      </w:r>
    </w:p>
    <w:p w14:paraId="3FFC6BDB" w14:textId="77777777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29DF3128" w14:textId="597BD80B" w:rsidR="002E7B07" w:rsidRPr="00C17AFE" w:rsidRDefault="00FD35E3" w:rsidP="002E7B07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Doplněn je bod 6) </w:t>
      </w:r>
      <w:r w:rsidR="002E7B07" w:rsidRPr="00C17AFE">
        <w:rPr>
          <w:rFonts w:cstheme="minorHAnsi"/>
          <w:i/>
          <w:sz w:val="20"/>
          <w:szCs w:val="20"/>
        </w:rPr>
        <w:t>Jednání je svoláno st</w:t>
      </w:r>
      <w:r w:rsidR="003F3AD9" w:rsidRPr="00C17AFE">
        <w:rPr>
          <w:rFonts w:cstheme="minorHAnsi"/>
          <w:i/>
          <w:sz w:val="20"/>
          <w:szCs w:val="20"/>
        </w:rPr>
        <w:t>andardně prezenč</w:t>
      </w:r>
      <w:r w:rsidR="002E7B07" w:rsidRPr="00C17AFE">
        <w:rPr>
          <w:rFonts w:cstheme="minorHAnsi"/>
          <w:i/>
          <w:sz w:val="20"/>
          <w:szCs w:val="20"/>
        </w:rPr>
        <w:t>ně. Ve výjimečných případech je možná hybridní forma jednání (prezenčně a on-line).</w:t>
      </w:r>
    </w:p>
    <w:p w14:paraId="70E7F5F5" w14:textId="77777777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645780EC" w14:textId="7D67BF98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Členové KV hlasovali následovně: </w:t>
      </w:r>
    </w:p>
    <w:p w14:paraId="0BF9DBD8" w14:textId="344589F4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Pro: 8</w:t>
      </w:r>
    </w:p>
    <w:p w14:paraId="0B73957C" w14:textId="77777777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 xml:space="preserve">Proti: 0 </w:t>
      </w:r>
    </w:p>
    <w:p w14:paraId="6C3A695F" w14:textId="77777777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Zdrželo se: 0</w:t>
      </w:r>
    </w:p>
    <w:p w14:paraId="17E94B9D" w14:textId="77777777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Nehlasovali: 0</w:t>
      </w:r>
    </w:p>
    <w:p w14:paraId="6C06814D" w14:textId="083AF874" w:rsidR="002E7B07" w:rsidRPr="00C17AFE" w:rsidRDefault="002E7B07" w:rsidP="002E7B07">
      <w:pPr>
        <w:spacing w:after="0"/>
        <w:jc w:val="both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Přítomni: 8</w:t>
      </w:r>
    </w:p>
    <w:p w14:paraId="1B6BFC92" w14:textId="7AC01D61" w:rsidR="002E7B07" w:rsidRPr="00C17AFE" w:rsidRDefault="002E7B07" w:rsidP="002E7B07">
      <w:pPr>
        <w:tabs>
          <w:tab w:val="left" w:pos="2835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C17AFE">
        <w:rPr>
          <w:rFonts w:cstheme="minorHAnsi"/>
          <w:i/>
          <w:sz w:val="20"/>
          <w:szCs w:val="20"/>
        </w:rPr>
        <w:t>Usnesení bylo schváleno.</w:t>
      </w:r>
    </w:p>
    <w:p w14:paraId="373419EF" w14:textId="77777777" w:rsidR="00C17AFE" w:rsidRPr="00C17AFE" w:rsidRDefault="00C17AFE" w:rsidP="002E7B07">
      <w:pPr>
        <w:tabs>
          <w:tab w:val="left" w:pos="2835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EC76F4D" w14:textId="7E0141AC" w:rsidR="000B4D29" w:rsidRPr="00C17AFE" w:rsidRDefault="000B4D29" w:rsidP="008F523C">
      <w:pPr>
        <w:pStyle w:val="Odstavecseseznamem"/>
        <w:numPr>
          <w:ilvl w:val="0"/>
          <w:numId w:val="29"/>
        </w:num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Různé</w:t>
      </w:r>
    </w:p>
    <w:p w14:paraId="62A0C5DA" w14:textId="1A414964" w:rsidR="00D17882" w:rsidRPr="00C17AFE" w:rsidRDefault="00436F79" w:rsidP="00D17882">
      <w:pPr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Nebylo diskutováno.</w:t>
      </w:r>
    </w:p>
    <w:p w14:paraId="0A80019A" w14:textId="0DB985C7" w:rsidR="00150780" w:rsidRPr="00C17AFE" w:rsidRDefault="000B4D29" w:rsidP="00D17882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Závěr</w:t>
      </w:r>
      <w:r w:rsidR="00150780" w:rsidRPr="00C17AFE">
        <w:rPr>
          <w:rFonts w:cstheme="minorHAnsi"/>
          <w:sz w:val="20"/>
          <w:szCs w:val="20"/>
        </w:rPr>
        <w:tab/>
      </w:r>
    </w:p>
    <w:p w14:paraId="3C6B1D41" w14:textId="0BB0A778" w:rsidR="00FE6AD1" w:rsidRPr="00C17AFE" w:rsidRDefault="00D84CCB" w:rsidP="00150780">
      <w:pPr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V 18</w:t>
      </w:r>
      <w:r w:rsidR="00556097" w:rsidRPr="00C17AFE">
        <w:rPr>
          <w:rFonts w:cstheme="minorHAnsi"/>
          <w:sz w:val="20"/>
          <w:szCs w:val="20"/>
        </w:rPr>
        <w:t>:</w:t>
      </w:r>
      <w:r w:rsidR="00436F79" w:rsidRPr="00C17AFE">
        <w:rPr>
          <w:rFonts w:cstheme="minorHAnsi"/>
          <w:sz w:val="20"/>
          <w:szCs w:val="20"/>
        </w:rPr>
        <w:t>2</w:t>
      </w:r>
      <w:r w:rsidR="003B060C" w:rsidRPr="00C17AFE">
        <w:rPr>
          <w:rFonts w:cstheme="minorHAnsi"/>
          <w:sz w:val="20"/>
          <w:szCs w:val="20"/>
        </w:rPr>
        <w:t>0 hod bylo 16</w:t>
      </w:r>
      <w:r w:rsidR="00150780" w:rsidRPr="00C17AFE">
        <w:rPr>
          <w:rFonts w:cstheme="minorHAnsi"/>
          <w:sz w:val="20"/>
          <w:szCs w:val="20"/>
        </w:rPr>
        <w:t>.</w:t>
      </w:r>
      <w:r w:rsidR="00935897" w:rsidRPr="00C17AFE">
        <w:rPr>
          <w:rFonts w:cstheme="minorHAnsi"/>
          <w:sz w:val="20"/>
          <w:szCs w:val="20"/>
        </w:rPr>
        <w:t xml:space="preserve"> </w:t>
      </w:r>
      <w:r w:rsidR="00150780" w:rsidRPr="00C17AFE">
        <w:rPr>
          <w:rFonts w:cstheme="minorHAnsi"/>
          <w:sz w:val="20"/>
          <w:szCs w:val="20"/>
        </w:rPr>
        <w:t>jednání KV ukončeno.</w:t>
      </w:r>
    </w:p>
    <w:p w14:paraId="098EAA6B" w14:textId="331785DA" w:rsidR="00717659" w:rsidRPr="00C17AFE" w:rsidRDefault="00B525FE" w:rsidP="00717659">
      <w:pPr>
        <w:jc w:val="both"/>
        <w:rPr>
          <w:rFonts w:cstheme="minorHAnsi"/>
          <w:b/>
          <w:color w:val="FF0000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Příští zasedání KV se uskuteční</w:t>
      </w:r>
      <w:r w:rsidR="003B060C" w:rsidRPr="00C17AFE">
        <w:rPr>
          <w:rFonts w:cstheme="minorHAnsi"/>
          <w:sz w:val="20"/>
          <w:szCs w:val="20"/>
        </w:rPr>
        <w:t xml:space="preserve"> 20.10.2025 od 17:00 v malé zasedací místnosti</w:t>
      </w:r>
      <w:r w:rsidRPr="00C17AFE">
        <w:rPr>
          <w:rFonts w:cstheme="minorHAnsi"/>
          <w:sz w:val="20"/>
          <w:szCs w:val="20"/>
        </w:rPr>
        <w:t>.</w:t>
      </w:r>
    </w:p>
    <w:p w14:paraId="15C723EC" w14:textId="77777777" w:rsidR="000B4D29" w:rsidRPr="00C17AFE" w:rsidRDefault="000B4D29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466B0351" w14:textId="713EEAEB" w:rsidR="00150780" w:rsidRPr="00C17AFE" w:rsidRDefault="00150780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Návrh usnesení pro </w:t>
      </w:r>
      <w:proofErr w:type="gramStart"/>
      <w:r w:rsidRPr="00C17AFE">
        <w:rPr>
          <w:rFonts w:eastAsia="Times New Roman" w:cstheme="minorHAnsi"/>
          <w:b/>
          <w:sz w:val="20"/>
          <w:szCs w:val="20"/>
          <w:lang w:eastAsia="cs-CZ"/>
        </w:rPr>
        <w:t>ZM :</w:t>
      </w:r>
      <w:proofErr w:type="gramEnd"/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                                                                                                        </w:t>
      </w:r>
    </w:p>
    <w:p w14:paraId="126B22F4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328AD07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Zastupitelstvo města Kutná Hora</w:t>
      </w:r>
    </w:p>
    <w:p w14:paraId="3A82BCD6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49328AC" w14:textId="71301538" w:rsidR="00150780" w:rsidRPr="00C17AFE" w:rsidRDefault="00150780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bere na vědomí</w:t>
      </w:r>
    </w:p>
    <w:p w14:paraId="5C8C1A89" w14:textId="12389313" w:rsidR="00150780" w:rsidRPr="00C17AFE" w:rsidRDefault="00521895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    </w:t>
      </w:r>
      <w:r w:rsidR="003B060C" w:rsidRPr="00C17AFE">
        <w:rPr>
          <w:rFonts w:eastAsia="Times New Roman" w:cstheme="minorHAnsi"/>
          <w:sz w:val="20"/>
          <w:szCs w:val="20"/>
          <w:lang w:eastAsia="cs-CZ"/>
        </w:rPr>
        <w:t>Zápis č. 16</w:t>
      </w:r>
      <w:r w:rsidR="00480581" w:rsidRPr="00C17AFE">
        <w:rPr>
          <w:rFonts w:eastAsia="Times New Roman" w:cstheme="minorHAnsi"/>
          <w:sz w:val="20"/>
          <w:szCs w:val="20"/>
          <w:lang w:eastAsia="cs-CZ"/>
        </w:rPr>
        <w:t>/2</w:t>
      </w:r>
      <w:r w:rsidR="003B060C" w:rsidRPr="00C17AFE">
        <w:rPr>
          <w:rFonts w:eastAsia="Times New Roman" w:cstheme="minorHAnsi"/>
          <w:sz w:val="20"/>
          <w:szCs w:val="20"/>
          <w:lang w:eastAsia="cs-CZ"/>
        </w:rPr>
        <w:t>025 z 16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. zasedání Kontrolního výboru Zastupitelstva města Ku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>tná Hora</w:t>
      </w:r>
      <w:r w:rsidR="00436F79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 xml:space="preserve">ze dne </w:t>
      </w:r>
      <w:r w:rsidR="003B060C" w:rsidRPr="00C17AFE">
        <w:rPr>
          <w:rFonts w:eastAsia="Times New Roman" w:cstheme="minorHAnsi"/>
          <w:sz w:val="20"/>
          <w:szCs w:val="20"/>
          <w:lang w:eastAsia="cs-CZ"/>
        </w:rPr>
        <w:t>15. 09</w:t>
      </w:r>
      <w:r w:rsidR="001D5592" w:rsidRPr="00C17AFE">
        <w:rPr>
          <w:rFonts w:eastAsia="Times New Roman" w:cstheme="minorHAnsi"/>
          <w:sz w:val="20"/>
          <w:szCs w:val="20"/>
          <w:lang w:eastAsia="cs-CZ"/>
        </w:rPr>
        <w:t>.</w:t>
      </w:r>
      <w:r w:rsidR="00D3374A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0B4D29" w:rsidRPr="00C17AFE">
        <w:rPr>
          <w:rFonts w:eastAsia="Times New Roman" w:cstheme="minorHAnsi"/>
          <w:sz w:val="20"/>
          <w:szCs w:val="20"/>
          <w:lang w:eastAsia="cs-CZ"/>
        </w:rPr>
        <w:t>2025</w:t>
      </w:r>
    </w:p>
    <w:p w14:paraId="51DC9E1A" w14:textId="3F1F1331" w:rsidR="003B060C" w:rsidRPr="00C17AFE" w:rsidRDefault="003B060C" w:rsidP="003B060C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schvaluje</w:t>
      </w:r>
    </w:p>
    <w:p w14:paraId="040D31E5" w14:textId="2536956A" w:rsidR="0013405A" w:rsidRPr="00C17AFE" w:rsidRDefault="003B060C" w:rsidP="003B060C">
      <w:pPr>
        <w:spacing w:after="0" w:line="240" w:lineRule="auto"/>
        <w:ind w:left="270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Statut Kontrolního výboru </w:t>
      </w:r>
      <w:r w:rsidR="00FF1FB0">
        <w:rPr>
          <w:rFonts w:eastAsia="Times New Roman" w:cstheme="minorHAnsi"/>
          <w:sz w:val="20"/>
          <w:szCs w:val="20"/>
          <w:lang w:eastAsia="cs-CZ"/>
        </w:rPr>
        <w:t xml:space="preserve">Zastupitelstva </w:t>
      </w:r>
      <w:r w:rsidRPr="00C17AFE">
        <w:rPr>
          <w:rFonts w:eastAsia="Times New Roman" w:cstheme="minorHAnsi"/>
          <w:sz w:val="20"/>
          <w:szCs w:val="20"/>
          <w:lang w:eastAsia="cs-CZ"/>
        </w:rPr>
        <w:t>města Kutná Hora</w:t>
      </w:r>
    </w:p>
    <w:p w14:paraId="5248B859" w14:textId="77777777" w:rsidR="003B060C" w:rsidRPr="00C17AFE" w:rsidRDefault="003B060C" w:rsidP="003B060C">
      <w:pPr>
        <w:spacing w:after="0" w:line="240" w:lineRule="auto"/>
        <w:ind w:left="270"/>
        <w:rPr>
          <w:rFonts w:eastAsia="Times New Roman" w:cstheme="minorHAnsi"/>
          <w:sz w:val="20"/>
          <w:szCs w:val="20"/>
          <w:lang w:eastAsia="cs-CZ"/>
        </w:rPr>
      </w:pPr>
    </w:p>
    <w:p w14:paraId="65FA37E9" w14:textId="07AF83C0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B3FD390" w14:textId="1184F1B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gramStart"/>
      <w:r w:rsidRPr="00C17AFE">
        <w:rPr>
          <w:rFonts w:eastAsia="Times New Roman" w:cstheme="minorHAnsi"/>
          <w:sz w:val="20"/>
          <w:szCs w:val="20"/>
          <w:lang w:eastAsia="cs-CZ"/>
        </w:rPr>
        <w:t xml:space="preserve">Zapsala :                 </w:t>
      </w:r>
      <w:r w:rsidR="00C17AFE">
        <w:rPr>
          <w:rFonts w:eastAsia="Times New Roman" w:cstheme="minorHAnsi"/>
          <w:sz w:val="20"/>
          <w:szCs w:val="20"/>
          <w:lang w:eastAsia="cs-CZ"/>
        </w:rPr>
        <w:t xml:space="preserve">     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Ing.</w:t>
      </w:r>
      <w:proofErr w:type="gramEnd"/>
      <w:r w:rsidRPr="00C17AFE">
        <w:rPr>
          <w:rFonts w:eastAsia="Times New Roman" w:cstheme="minorHAnsi"/>
          <w:sz w:val="20"/>
          <w:szCs w:val="20"/>
          <w:lang w:eastAsia="cs-CZ"/>
        </w:rPr>
        <w:t xml:space="preserve"> Kateřina Vágnerová, vedoucí odděl</w:t>
      </w:r>
      <w:r w:rsidR="002A0895" w:rsidRPr="00C17AFE">
        <w:rPr>
          <w:rFonts w:eastAsia="Times New Roman" w:cstheme="minorHAnsi"/>
          <w:sz w:val="20"/>
          <w:szCs w:val="20"/>
          <w:lang w:eastAsia="cs-CZ"/>
        </w:rPr>
        <w:t>ení interního auditu</w:t>
      </w:r>
    </w:p>
    <w:p w14:paraId="6A9D95DF" w14:textId="13A59994" w:rsidR="00B135F2" w:rsidRDefault="00150780" w:rsidP="00853BBD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Elektronicky ověřila:  </w:t>
      </w:r>
      <w:r w:rsidRPr="00C17AFE">
        <w:rPr>
          <w:rFonts w:eastAsia="Times New Roman" w:cstheme="minorHAns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A005" wp14:editId="3A94C9B1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ACF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C17AFE">
        <w:rPr>
          <w:rFonts w:eastAsia="Times New Roman" w:cstheme="minorHAnsi"/>
          <w:sz w:val="20"/>
          <w:szCs w:val="20"/>
          <w:lang w:eastAsia="cs-CZ"/>
        </w:rPr>
        <w:t>Mgr. Bc. Silvia Doušová, předsedkyně KV</w:t>
      </w:r>
      <w:bookmarkStart w:id="0" w:name="_GoBack"/>
      <w:bookmarkEnd w:id="0"/>
    </w:p>
    <w:sectPr w:rsidR="00B1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B06"/>
    <w:multiLevelType w:val="hybridMultilevel"/>
    <w:tmpl w:val="20081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4C27"/>
    <w:multiLevelType w:val="hybridMultilevel"/>
    <w:tmpl w:val="65E0B690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44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4963"/>
    <w:multiLevelType w:val="hybridMultilevel"/>
    <w:tmpl w:val="BC28CFF8"/>
    <w:lvl w:ilvl="0" w:tplc="4BE2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E82"/>
    <w:multiLevelType w:val="hybridMultilevel"/>
    <w:tmpl w:val="5B72A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777"/>
    <w:multiLevelType w:val="hybridMultilevel"/>
    <w:tmpl w:val="70E43A1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584"/>
    <w:multiLevelType w:val="hybridMultilevel"/>
    <w:tmpl w:val="E020C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3C0"/>
    <w:multiLevelType w:val="hybridMultilevel"/>
    <w:tmpl w:val="33B06302"/>
    <w:lvl w:ilvl="0" w:tplc="CDA257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2D36"/>
    <w:multiLevelType w:val="hybridMultilevel"/>
    <w:tmpl w:val="265E5282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6F1B"/>
    <w:multiLevelType w:val="hybridMultilevel"/>
    <w:tmpl w:val="6B36994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1753"/>
    <w:multiLevelType w:val="hybridMultilevel"/>
    <w:tmpl w:val="EF32D732"/>
    <w:lvl w:ilvl="0" w:tplc="7DA237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60878"/>
    <w:multiLevelType w:val="hybridMultilevel"/>
    <w:tmpl w:val="01B618E6"/>
    <w:lvl w:ilvl="0" w:tplc="D6E6BE4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25F"/>
    <w:multiLevelType w:val="hybridMultilevel"/>
    <w:tmpl w:val="34BC6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0C6"/>
    <w:multiLevelType w:val="hybridMultilevel"/>
    <w:tmpl w:val="C6AAF1C8"/>
    <w:lvl w:ilvl="0" w:tplc="76E82AE8">
      <w:start w:val="16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C36872"/>
    <w:multiLevelType w:val="hybridMultilevel"/>
    <w:tmpl w:val="0F241448"/>
    <w:lvl w:ilvl="0" w:tplc="FACC24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E5E65"/>
    <w:multiLevelType w:val="hybridMultilevel"/>
    <w:tmpl w:val="0820EFEA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E2D"/>
    <w:multiLevelType w:val="hybridMultilevel"/>
    <w:tmpl w:val="F5F097C0"/>
    <w:lvl w:ilvl="0" w:tplc="ECC029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CA8"/>
    <w:multiLevelType w:val="hybridMultilevel"/>
    <w:tmpl w:val="7D92E86E"/>
    <w:lvl w:ilvl="0" w:tplc="ECC029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78CE"/>
    <w:multiLevelType w:val="hybridMultilevel"/>
    <w:tmpl w:val="EEFA8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E404B"/>
    <w:multiLevelType w:val="hybridMultilevel"/>
    <w:tmpl w:val="D632F3BC"/>
    <w:lvl w:ilvl="0" w:tplc="22768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0AB9"/>
    <w:multiLevelType w:val="hybridMultilevel"/>
    <w:tmpl w:val="0578162E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2797E87"/>
    <w:multiLevelType w:val="hybridMultilevel"/>
    <w:tmpl w:val="95B6F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46CF7"/>
    <w:multiLevelType w:val="hybridMultilevel"/>
    <w:tmpl w:val="88C221CE"/>
    <w:lvl w:ilvl="0" w:tplc="1FE63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68F7"/>
    <w:multiLevelType w:val="hybridMultilevel"/>
    <w:tmpl w:val="1A5E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982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52BF"/>
    <w:multiLevelType w:val="hybridMultilevel"/>
    <w:tmpl w:val="77380D20"/>
    <w:lvl w:ilvl="0" w:tplc="76E82AE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83416"/>
    <w:multiLevelType w:val="hybridMultilevel"/>
    <w:tmpl w:val="FFD06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A1D87"/>
    <w:multiLevelType w:val="hybridMultilevel"/>
    <w:tmpl w:val="DCCC0B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E11A4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2BA1042"/>
    <w:multiLevelType w:val="hybridMultilevel"/>
    <w:tmpl w:val="89168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F7E6C"/>
    <w:multiLevelType w:val="hybridMultilevel"/>
    <w:tmpl w:val="9F8418B4"/>
    <w:lvl w:ilvl="0" w:tplc="9AE4CA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D7743"/>
    <w:multiLevelType w:val="hybridMultilevel"/>
    <w:tmpl w:val="4738A9AE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CFF"/>
    <w:multiLevelType w:val="hybridMultilevel"/>
    <w:tmpl w:val="457AB694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32"/>
  </w:num>
  <w:num w:numId="4">
    <w:abstractNumId w:val="11"/>
  </w:num>
  <w:num w:numId="5">
    <w:abstractNumId w:val="26"/>
  </w:num>
  <w:num w:numId="6">
    <w:abstractNumId w:val="25"/>
  </w:num>
  <w:num w:numId="7">
    <w:abstractNumId w:val="12"/>
  </w:num>
  <w:num w:numId="8">
    <w:abstractNumId w:val="18"/>
  </w:num>
  <w:num w:numId="9">
    <w:abstractNumId w:val="31"/>
  </w:num>
  <w:num w:numId="10">
    <w:abstractNumId w:val="2"/>
  </w:num>
  <w:num w:numId="11">
    <w:abstractNumId w:val="16"/>
  </w:num>
  <w:num w:numId="12">
    <w:abstractNumId w:val="21"/>
  </w:num>
  <w:num w:numId="13">
    <w:abstractNumId w:val="13"/>
  </w:num>
  <w:num w:numId="14">
    <w:abstractNumId w:val="1"/>
  </w:num>
  <w:num w:numId="15">
    <w:abstractNumId w:val="6"/>
  </w:num>
  <w:num w:numId="16">
    <w:abstractNumId w:val="3"/>
  </w:num>
  <w:num w:numId="17">
    <w:abstractNumId w:val="10"/>
  </w:num>
  <w:num w:numId="18">
    <w:abstractNumId w:val="30"/>
  </w:num>
  <w:num w:numId="19">
    <w:abstractNumId w:val="15"/>
  </w:num>
  <w:num w:numId="20">
    <w:abstractNumId w:val="9"/>
  </w:num>
  <w:num w:numId="21">
    <w:abstractNumId w:val="5"/>
  </w:num>
  <w:num w:numId="22">
    <w:abstractNumId w:val="4"/>
  </w:num>
  <w:num w:numId="23">
    <w:abstractNumId w:val="20"/>
  </w:num>
  <w:num w:numId="24">
    <w:abstractNumId w:val="14"/>
  </w:num>
  <w:num w:numId="25">
    <w:abstractNumId w:val="7"/>
  </w:num>
  <w:num w:numId="26">
    <w:abstractNumId w:val="8"/>
  </w:num>
  <w:num w:numId="27">
    <w:abstractNumId w:val="19"/>
  </w:num>
  <w:num w:numId="28">
    <w:abstractNumId w:val="22"/>
  </w:num>
  <w:num w:numId="29">
    <w:abstractNumId w:val="27"/>
  </w:num>
  <w:num w:numId="30">
    <w:abstractNumId w:val="23"/>
  </w:num>
  <w:num w:numId="31">
    <w:abstractNumId w:val="0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80"/>
    <w:rsid w:val="00007329"/>
    <w:rsid w:val="000104B2"/>
    <w:rsid w:val="000134AC"/>
    <w:rsid w:val="0001496A"/>
    <w:rsid w:val="00023726"/>
    <w:rsid w:val="00024986"/>
    <w:rsid w:val="000306BC"/>
    <w:rsid w:val="00033FF8"/>
    <w:rsid w:val="00036B45"/>
    <w:rsid w:val="000410ED"/>
    <w:rsid w:val="000746F8"/>
    <w:rsid w:val="00074FC7"/>
    <w:rsid w:val="000B2E6E"/>
    <w:rsid w:val="000B4D29"/>
    <w:rsid w:val="000C726E"/>
    <w:rsid w:val="000D7BC5"/>
    <w:rsid w:val="000D7D8D"/>
    <w:rsid w:val="000E103A"/>
    <w:rsid w:val="000E34D4"/>
    <w:rsid w:val="000E4266"/>
    <w:rsid w:val="000F6E3A"/>
    <w:rsid w:val="0011273D"/>
    <w:rsid w:val="0013405A"/>
    <w:rsid w:val="00136828"/>
    <w:rsid w:val="00150780"/>
    <w:rsid w:val="00152E4C"/>
    <w:rsid w:val="001628FF"/>
    <w:rsid w:val="00173B34"/>
    <w:rsid w:val="00187854"/>
    <w:rsid w:val="00194765"/>
    <w:rsid w:val="00196C8B"/>
    <w:rsid w:val="001B116F"/>
    <w:rsid w:val="001B1707"/>
    <w:rsid w:val="001D5592"/>
    <w:rsid w:val="00222BFC"/>
    <w:rsid w:val="00251073"/>
    <w:rsid w:val="00254E3E"/>
    <w:rsid w:val="0026238D"/>
    <w:rsid w:val="00262CDE"/>
    <w:rsid w:val="002A0895"/>
    <w:rsid w:val="002A3805"/>
    <w:rsid w:val="002E7080"/>
    <w:rsid w:val="002E7B07"/>
    <w:rsid w:val="002F1C46"/>
    <w:rsid w:val="00306221"/>
    <w:rsid w:val="00320FCA"/>
    <w:rsid w:val="003308F1"/>
    <w:rsid w:val="00357D5F"/>
    <w:rsid w:val="003643CB"/>
    <w:rsid w:val="00396F93"/>
    <w:rsid w:val="0039707A"/>
    <w:rsid w:val="003B060C"/>
    <w:rsid w:val="003B79D4"/>
    <w:rsid w:val="003C4360"/>
    <w:rsid w:val="003D740E"/>
    <w:rsid w:val="003E42FB"/>
    <w:rsid w:val="003F3AD9"/>
    <w:rsid w:val="0040438B"/>
    <w:rsid w:val="004366DC"/>
    <w:rsid w:val="00436C90"/>
    <w:rsid w:val="00436F79"/>
    <w:rsid w:val="00456442"/>
    <w:rsid w:val="00460857"/>
    <w:rsid w:val="00480581"/>
    <w:rsid w:val="004A6467"/>
    <w:rsid w:val="004C085E"/>
    <w:rsid w:val="004E5FD4"/>
    <w:rsid w:val="004E6726"/>
    <w:rsid w:val="00501E65"/>
    <w:rsid w:val="0050753E"/>
    <w:rsid w:val="005128B2"/>
    <w:rsid w:val="005200F7"/>
    <w:rsid w:val="00521895"/>
    <w:rsid w:val="00541363"/>
    <w:rsid w:val="00543789"/>
    <w:rsid w:val="00556097"/>
    <w:rsid w:val="00562C6B"/>
    <w:rsid w:val="00580E79"/>
    <w:rsid w:val="00582982"/>
    <w:rsid w:val="0058324C"/>
    <w:rsid w:val="00584E9C"/>
    <w:rsid w:val="00590E2C"/>
    <w:rsid w:val="005E3AC9"/>
    <w:rsid w:val="005F3CFB"/>
    <w:rsid w:val="00601FD6"/>
    <w:rsid w:val="00621B93"/>
    <w:rsid w:val="00624D08"/>
    <w:rsid w:val="006256B8"/>
    <w:rsid w:val="00644B38"/>
    <w:rsid w:val="006557B2"/>
    <w:rsid w:val="006657EC"/>
    <w:rsid w:val="00677390"/>
    <w:rsid w:val="006832EB"/>
    <w:rsid w:val="006A1D45"/>
    <w:rsid w:val="006A35B9"/>
    <w:rsid w:val="006B21E3"/>
    <w:rsid w:val="006E13E4"/>
    <w:rsid w:val="006E5613"/>
    <w:rsid w:val="006F2908"/>
    <w:rsid w:val="00711C10"/>
    <w:rsid w:val="00717659"/>
    <w:rsid w:val="0072022F"/>
    <w:rsid w:val="007206B5"/>
    <w:rsid w:val="0072136A"/>
    <w:rsid w:val="007451C0"/>
    <w:rsid w:val="007567BA"/>
    <w:rsid w:val="007678A6"/>
    <w:rsid w:val="0078420C"/>
    <w:rsid w:val="007A2563"/>
    <w:rsid w:val="007A7C07"/>
    <w:rsid w:val="007B7EF5"/>
    <w:rsid w:val="007F54BD"/>
    <w:rsid w:val="007F737F"/>
    <w:rsid w:val="00800B13"/>
    <w:rsid w:val="0081228F"/>
    <w:rsid w:val="00816300"/>
    <w:rsid w:val="00824B42"/>
    <w:rsid w:val="00836D40"/>
    <w:rsid w:val="008402EC"/>
    <w:rsid w:val="0084158B"/>
    <w:rsid w:val="00845DCB"/>
    <w:rsid w:val="00851629"/>
    <w:rsid w:val="00853BBD"/>
    <w:rsid w:val="00867AB8"/>
    <w:rsid w:val="00877A78"/>
    <w:rsid w:val="00877B57"/>
    <w:rsid w:val="008A5646"/>
    <w:rsid w:val="008B437C"/>
    <w:rsid w:val="008B46A7"/>
    <w:rsid w:val="008C3476"/>
    <w:rsid w:val="008C795F"/>
    <w:rsid w:val="008D4B8C"/>
    <w:rsid w:val="008F523C"/>
    <w:rsid w:val="00935897"/>
    <w:rsid w:val="009370D1"/>
    <w:rsid w:val="00937787"/>
    <w:rsid w:val="00953168"/>
    <w:rsid w:val="00963713"/>
    <w:rsid w:val="009750A1"/>
    <w:rsid w:val="00976031"/>
    <w:rsid w:val="009B36E5"/>
    <w:rsid w:val="009C23D3"/>
    <w:rsid w:val="009C6E3F"/>
    <w:rsid w:val="009D7C34"/>
    <w:rsid w:val="009E5147"/>
    <w:rsid w:val="00A00714"/>
    <w:rsid w:val="00A27AF5"/>
    <w:rsid w:val="00A62840"/>
    <w:rsid w:val="00A66CB7"/>
    <w:rsid w:val="00A74A85"/>
    <w:rsid w:val="00A90AF9"/>
    <w:rsid w:val="00A95689"/>
    <w:rsid w:val="00AB5951"/>
    <w:rsid w:val="00AD663A"/>
    <w:rsid w:val="00AE4EF1"/>
    <w:rsid w:val="00AE5CF4"/>
    <w:rsid w:val="00AF2F8E"/>
    <w:rsid w:val="00AF6490"/>
    <w:rsid w:val="00B135F2"/>
    <w:rsid w:val="00B25157"/>
    <w:rsid w:val="00B373DA"/>
    <w:rsid w:val="00B46AC4"/>
    <w:rsid w:val="00B525FE"/>
    <w:rsid w:val="00B678A7"/>
    <w:rsid w:val="00BA146A"/>
    <w:rsid w:val="00BD3A67"/>
    <w:rsid w:val="00BE40C5"/>
    <w:rsid w:val="00BF672B"/>
    <w:rsid w:val="00C12E2B"/>
    <w:rsid w:val="00C13061"/>
    <w:rsid w:val="00C17AFE"/>
    <w:rsid w:val="00C32421"/>
    <w:rsid w:val="00C45A78"/>
    <w:rsid w:val="00C74F36"/>
    <w:rsid w:val="00C75E55"/>
    <w:rsid w:val="00C76787"/>
    <w:rsid w:val="00C821DC"/>
    <w:rsid w:val="00C907C2"/>
    <w:rsid w:val="00C979EE"/>
    <w:rsid w:val="00CA683B"/>
    <w:rsid w:val="00CB227E"/>
    <w:rsid w:val="00CC38E2"/>
    <w:rsid w:val="00CE4031"/>
    <w:rsid w:val="00CF6E2B"/>
    <w:rsid w:val="00D17882"/>
    <w:rsid w:val="00D22084"/>
    <w:rsid w:val="00D3374A"/>
    <w:rsid w:val="00D614C3"/>
    <w:rsid w:val="00D77AB3"/>
    <w:rsid w:val="00D821E3"/>
    <w:rsid w:val="00D83C40"/>
    <w:rsid w:val="00D84CCB"/>
    <w:rsid w:val="00DD13A0"/>
    <w:rsid w:val="00DF22BF"/>
    <w:rsid w:val="00DF33D9"/>
    <w:rsid w:val="00E24ADC"/>
    <w:rsid w:val="00E4136C"/>
    <w:rsid w:val="00E63B66"/>
    <w:rsid w:val="00E7035C"/>
    <w:rsid w:val="00E72A04"/>
    <w:rsid w:val="00E80042"/>
    <w:rsid w:val="00E9496C"/>
    <w:rsid w:val="00EA13E4"/>
    <w:rsid w:val="00EA5975"/>
    <w:rsid w:val="00EA5CB7"/>
    <w:rsid w:val="00EB496F"/>
    <w:rsid w:val="00EE0BA6"/>
    <w:rsid w:val="00EF12B2"/>
    <w:rsid w:val="00F03D84"/>
    <w:rsid w:val="00F16796"/>
    <w:rsid w:val="00F20182"/>
    <w:rsid w:val="00F623D1"/>
    <w:rsid w:val="00F8281E"/>
    <w:rsid w:val="00F8430F"/>
    <w:rsid w:val="00FA0829"/>
    <w:rsid w:val="00FA2F81"/>
    <w:rsid w:val="00FB1072"/>
    <w:rsid w:val="00FC1D2B"/>
    <w:rsid w:val="00FC38AB"/>
    <w:rsid w:val="00FC489E"/>
    <w:rsid w:val="00FD35E3"/>
    <w:rsid w:val="00FE16BA"/>
    <w:rsid w:val="00FE1D1C"/>
    <w:rsid w:val="00FE6AD1"/>
    <w:rsid w:val="00FF1FB0"/>
    <w:rsid w:val="00FF207E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E41"/>
  <w15:docId w15:val="{AD2DBE55-E0B3-4796-A0B7-E089A35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7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5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B2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1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1E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821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79E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2E70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DC2-C877-4E86-9488-F2B9B246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5169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2</cp:revision>
  <cp:lastPrinted>2025-04-04T08:38:00Z</cp:lastPrinted>
  <dcterms:created xsi:type="dcterms:W3CDTF">2025-10-10T11:42:00Z</dcterms:created>
  <dcterms:modified xsi:type="dcterms:W3CDTF">2025-10-10T11:42:00Z</dcterms:modified>
</cp:coreProperties>
</file>