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45" w:rsidRPr="00595F45" w:rsidRDefault="00595F45" w:rsidP="00595F45">
      <w:pPr>
        <w:shd w:val="clear" w:color="auto" w:fill="DBE5F1" w:themeFill="accent1" w:themeFillTint="33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595F4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Zastupitelstvo města Kutné Hory přijalo na svém zasedání dne </w:t>
      </w:r>
      <w:proofErr w:type="gramStart"/>
      <w:r w:rsidRPr="00595F4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30.ledna</w:t>
      </w:r>
      <w:proofErr w:type="gramEnd"/>
      <w:r w:rsidRPr="00595F4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2018</w:t>
      </w:r>
    </w:p>
    <w:p w:rsidR="008D0B0F" w:rsidRDefault="00595F45" w:rsidP="008D0B0F">
      <w:pPr>
        <w:shd w:val="clear" w:color="auto" w:fill="DBE5F1" w:themeFill="accent1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0B0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DBE5F1" w:themeFill="accent1" w:themeFillTint="33"/>
          <w:lang w:eastAsia="cs-CZ"/>
        </w:rPr>
        <w:t>Usnesení č. 3/18 k rozpočtovému opatření KAN č. 1</w:t>
      </w:r>
      <w:r w:rsidRPr="00595F45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br/>
        <w:t>Zastupitelstvo města s c h v a l u j e</w:t>
      </w:r>
      <w:r w:rsidRPr="00595F45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br/>
        <w:t>a) poskytnutí dotace pro Oblastní nemocnici Kolín, a.s., nemocnici Středočeského kraje, nemocnici Kutná Hora ve výši 1 000.000,- Kč na zajištění vybavení nově budované stanice paliativní péče na pracovišti nemocnice Kutná Hora, pro rok 2018 na základě žádosti.</w:t>
      </w:r>
      <w:r w:rsidRPr="00595F45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br/>
      </w:r>
      <w:r w:rsidRPr="00595F45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br/>
        <w:t>b) předloženou veřejnoprávní smlouvu o poskytnutí dotace</w:t>
      </w:r>
      <w:r w:rsidRPr="00595F45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br/>
      </w:r>
      <w:r w:rsidRPr="00595F45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br/>
        <w:t>c) předložené rozpočtové opatření KAN č. 1 - pokrytí dotace pro Oblastní nemocnici Kolín, a.s., nemocnici Středočeského kraje, nemocnici Kutná Hora ve výši 1 000 000,- Kč,- Kč.</w:t>
      </w:r>
      <w:r w:rsidRPr="00595F45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br/>
      </w:r>
      <w:r w:rsidRPr="00595F45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br/>
        <w:t>Zodpovídá : E. Hnátková</w:t>
      </w:r>
      <w:r w:rsidRPr="00595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    Termín : </w:t>
      </w:r>
      <w:proofErr w:type="gramStart"/>
      <w:r w:rsidRPr="00595F45">
        <w:rPr>
          <w:rFonts w:ascii="Times New Roman" w:eastAsia="Times New Roman" w:hAnsi="Times New Roman" w:cs="Times New Roman"/>
          <w:sz w:val="24"/>
          <w:szCs w:val="24"/>
          <w:lang w:eastAsia="cs-CZ"/>
        </w:rPr>
        <w:t>15.02.18</w:t>
      </w:r>
      <w:proofErr w:type="gramEnd"/>
      <w:r w:rsidRPr="00595F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8D0B0F" w:rsidRPr="00D70651" w:rsidRDefault="008D0B0F" w:rsidP="008D0B0F">
      <w:pPr>
        <w:jc w:val="both"/>
        <w:rPr>
          <w:rFonts w:ascii="Verdana" w:hAnsi="Verdana"/>
          <w:sz w:val="20"/>
          <w:szCs w:val="20"/>
        </w:rPr>
      </w:pPr>
      <w:r w:rsidRPr="00D70651">
        <w:rPr>
          <w:rFonts w:ascii="Verdana" w:hAnsi="Verdana"/>
          <w:b/>
          <w:sz w:val="20"/>
          <w:szCs w:val="20"/>
        </w:rPr>
        <w:t xml:space="preserve">Rozpočtové opatření KT č. </w:t>
      </w:r>
      <w:r>
        <w:rPr>
          <w:rFonts w:ascii="Verdana" w:hAnsi="Verdana"/>
          <w:b/>
          <w:sz w:val="20"/>
          <w:szCs w:val="20"/>
        </w:rPr>
        <w:t>1</w:t>
      </w:r>
      <w:r w:rsidRPr="00D70651">
        <w:rPr>
          <w:rFonts w:ascii="Verdana" w:hAnsi="Verdana"/>
          <w:sz w:val="20"/>
          <w:szCs w:val="20"/>
        </w:rPr>
        <w:t xml:space="preserve">  - navýšení rozpočtových prostředků (§ 16, odst. 3, písm. b) zákona č. 250/2000 Sb.)</w:t>
      </w:r>
    </w:p>
    <w:p w:rsidR="008D0B0F" w:rsidRPr="00D70651" w:rsidRDefault="008D0B0F" w:rsidP="008D0B0F">
      <w:pPr>
        <w:outlineLvl w:val="0"/>
        <w:rPr>
          <w:rFonts w:ascii="Verdana" w:hAnsi="Verdana"/>
          <w:sz w:val="20"/>
          <w:szCs w:val="20"/>
        </w:rPr>
      </w:pPr>
    </w:p>
    <w:p w:rsidR="008D0B0F" w:rsidRPr="00D70651" w:rsidRDefault="008D0B0F" w:rsidP="008D0B0F">
      <w:pPr>
        <w:outlineLvl w:val="0"/>
        <w:rPr>
          <w:rFonts w:ascii="Verdana" w:hAnsi="Verdana"/>
          <w:b/>
          <w:sz w:val="20"/>
          <w:szCs w:val="20"/>
        </w:rPr>
      </w:pPr>
      <w:r w:rsidRPr="00D70651">
        <w:rPr>
          <w:rFonts w:ascii="Verdana" w:hAnsi="Verdana"/>
          <w:b/>
          <w:sz w:val="20"/>
          <w:szCs w:val="20"/>
        </w:rPr>
        <w:t>Částka:  </w:t>
      </w:r>
      <w:r>
        <w:rPr>
          <w:rFonts w:ascii="Verdana" w:hAnsi="Verdana"/>
          <w:b/>
          <w:sz w:val="20"/>
          <w:szCs w:val="20"/>
        </w:rPr>
        <w:t>1 000</w:t>
      </w:r>
      <w:r w:rsidRPr="00D70651">
        <w:rPr>
          <w:rFonts w:ascii="Verdana" w:hAnsi="Verdana"/>
          <w:b/>
          <w:sz w:val="20"/>
          <w:szCs w:val="20"/>
        </w:rPr>
        <w:t xml:space="preserve"> 000 Kč</w:t>
      </w:r>
    </w:p>
    <w:p w:rsidR="008D0B0F" w:rsidRPr="00D70651" w:rsidRDefault="008D0B0F" w:rsidP="008D0B0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Verdana" w:hAnsi="Verdana"/>
        </w:rPr>
      </w:pPr>
    </w:p>
    <w:p w:rsidR="008D0B0F" w:rsidRDefault="008D0B0F" w:rsidP="008D0B0F">
      <w:pPr>
        <w:jc w:val="both"/>
        <w:rPr>
          <w:rFonts w:ascii="Verdana" w:hAnsi="Verdana"/>
          <w:sz w:val="20"/>
          <w:szCs w:val="20"/>
        </w:rPr>
      </w:pPr>
      <w:r w:rsidRPr="00D70651">
        <w:rPr>
          <w:rFonts w:ascii="Verdana" w:hAnsi="Verdana"/>
          <w:b/>
          <w:sz w:val="20"/>
          <w:szCs w:val="20"/>
        </w:rPr>
        <w:t xml:space="preserve">Zdůvodnění: </w:t>
      </w:r>
      <w:r>
        <w:rPr>
          <w:rFonts w:ascii="Verdana" w:hAnsi="Verdana"/>
          <w:sz w:val="20"/>
          <w:szCs w:val="20"/>
        </w:rPr>
        <w:t xml:space="preserve">Na základě </w:t>
      </w:r>
      <w:r w:rsidRPr="001644AF">
        <w:rPr>
          <w:rFonts w:ascii="Verdana" w:hAnsi="Verdana"/>
          <w:sz w:val="20"/>
          <w:szCs w:val="20"/>
        </w:rPr>
        <w:t>Usnesení č. 243/17</w:t>
      </w:r>
      <w:r>
        <w:rPr>
          <w:rFonts w:ascii="Verdana" w:hAnsi="Verdana"/>
          <w:sz w:val="20"/>
          <w:szCs w:val="20"/>
        </w:rPr>
        <w:t xml:space="preserve"> kterým v bodu </w:t>
      </w:r>
      <w:r w:rsidRPr="001644AF">
        <w:rPr>
          <w:rFonts w:ascii="Verdana" w:hAnsi="Verdana"/>
          <w:sz w:val="20"/>
          <w:szCs w:val="20"/>
        </w:rPr>
        <w:t xml:space="preserve">b) </w:t>
      </w:r>
      <w:r>
        <w:rPr>
          <w:rFonts w:ascii="Verdana" w:hAnsi="Verdana"/>
          <w:sz w:val="20"/>
          <w:szCs w:val="20"/>
        </w:rPr>
        <w:t xml:space="preserve">ZM uložilo </w:t>
      </w:r>
      <w:r w:rsidRPr="001644AF">
        <w:rPr>
          <w:rFonts w:ascii="Verdana" w:hAnsi="Verdana"/>
          <w:sz w:val="20"/>
          <w:szCs w:val="20"/>
        </w:rPr>
        <w:t xml:space="preserve">převod kapitálové položky "Nemocnice Kutná Hora - sponzorský dar" ve výši 1 000 000 Kč z rozpočtu </w:t>
      </w:r>
      <w:r>
        <w:rPr>
          <w:rFonts w:ascii="Verdana" w:hAnsi="Verdana"/>
          <w:sz w:val="20"/>
          <w:szCs w:val="20"/>
        </w:rPr>
        <w:t>roku 2017 do rozpočtu roku 2018 předkládáme rozpočtové opatření, kterým doje k zapojení těchto prostředků do rozpočtu na rok 2018.</w:t>
      </w:r>
    </w:p>
    <w:tbl>
      <w:tblPr>
        <w:tblW w:w="962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620"/>
        <w:gridCol w:w="547"/>
        <w:gridCol w:w="649"/>
        <w:gridCol w:w="2632"/>
        <w:gridCol w:w="1200"/>
        <w:gridCol w:w="1120"/>
        <w:gridCol w:w="1160"/>
        <w:gridCol w:w="1133"/>
      </w:tblGrid>
      <w:tr w:rsidR="008D0B0F" w:rsidRPr="00D70651" w:rsidTr="008B1661">
        <w:trPr>
          <w:trHeight w:val="22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D70651" w:rsidRDefault="008D0B0F" w:rsidP="008B1661">
            <w:pPr>
              <w:jc w:val="center"/>
              <w:rPr>
                <w:rFonts w:ascii="Verdana" w:hAnsi="Verdana" w:cs="Arial"/>
                <w:i/>
                <w:iCs/>
                <w:sz w:val="16"/>
                <w:szCs w:val="20"/>
              </w:rPr>
            </w:pPr>
            <w:r w:rsidRPr="00D70651">
              <w:rPr>
                <w:rFonts w:ascii="Verdana" w:hAnsi="Verdana" w:cs="Arial"/>
                <w:i/>
                <w:iCs/>
                <w:sz w:val="16"/>
                <w:szCs w:val="20"/>
              </w:rPr>
              <w:t xml:space="preserve">OdPa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D70651" w:rsidRDefault="008D0B0F" w:rsidP="008B1661">
            <w:pPr>
              <w:jc w:val="center"/>
              <w:rPr>
                <w:rFonts w:ascii="Verdana" w:hAnsi="Verdana" w:cs="Arial"/>
                <w:i/>
                <w:iCs/>
                <w:sz w:val="16"/>
                <w:szCs w:val="20"/>
              </w:rPr>
            </w:pPr>
            <w:r w:rsidRPr="00D70651">
              <w:rPr>
                <w:rFonts w:ascii="Verdana" w:hAnsi="Verdana" w:cs="Arial"/>
                <w:i/>
                <w:iCs/>
                <w:sz w:val="16"/>
                <w:szCs w:val="20"/>
              </w:rPr>
              <w:t xml:space="preserve">SpPo 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D70651" w:rsidRDefault="008D0B0F" w:rsidP="008B1661">
            <w:pPr>
              <w:jc w:val="center"/>
              <w:rPr>
                <w:rFonts w:ascii="Verdana" w:hAnsi="Verdana" w:cs="Arial"/>
                <w:i/>
                <w:iCs/>
                <w:sz w:val="16"/>
                <w:szCs w:val="20"/>
              </w:rPr>
            </w:pPr>
            <w:r w:rsidRPr="00D70651">
              <w:rPr>
                <w:rFonts w:ascii="Verdana" w:hAnsi="Verdana" w:cs="Arial"/>
                <w:i/>
                <w:iCs/>
                <w:sz w:val="16"/>
                <w:szCs w:val="20"/>
              </w:rPr>
              <w:t xml:space="preserve">OrJ  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D70651" w:rsidRDefault="008D0B0F" w:rsidP="008B1661">
            <w:pPr>
              <w:jc w:val="center"/>
              <w:rPr>
                <w:rFonts w:ascii="Verdana" w:hAnsi="Verdana" w:cs="Arial"/>
                <w:i/>
                <w:iCs/>
                <w:sz w:val="16"/>
                <w:szCs w:val="20"/>
              </w:rPr>
            </w:pPr>
            <w:r w:rsidRPr="00D70651">
              <w:rPr>
                <w:rFonts w:ascii="Verdana" w:hAnsi="Verdana" w:cs="Arial"/>
                <w:i/>
                <w:iCs/>
                <w:sz w:val="16"/>
                <w:szCs w:val="20"/>
              </w:rPr>
              <w:t>OrgC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D70651" w:rsidRDefault="008D0B0F" w:rsidP="008B1661">
            <w:pPr>
              <w:jc w:val="center"/>
              <w:rPr>
                <w:rFonts w:ascii="Verdana" w:hAnsi="Verdana" w:cs="Arial"/>
                <w:i/>
                <w:iCs/>
                <w:sz w:val="16"/>
                <w:szCs w:val="20"/>
              </w:rPr>
            </w:pPr>
            <w:r w:rsidRPr="00D70651">
              <w:rPr>
                <w:rFonts w:ascii="Verdana" w:hAnsi="Verdana" w:cs="Arial"/>
                <w:i/>
                <w:iCs/>
                <w:sz w:val="16"/>
                <w:szCs w:val="20"/>
              </w:rPr>
              <w:t xml:space="preserve">Text                  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D70651" w:rsidRDefault="008D0B0F" w:rsidP="008B1661">
            <w:pPr>
              <w:jc w:val="center"/>
              <w:rPr>
                <w:rFonts w:ascii="Verdana" w:hAnsi="Verdana" w:cs="Arial"/>
                <w:i/>
                <w:iCs/>
                <w:sz w:val="16"/>
                <w:szCs w:val="20"/>
              </w:rPr>
            </w:pPr>
            <w:r w:rsidRPr="00D70651">
              <w:rPr>
                <w:rFonts w:ascii="Verdana" w:hAnsi="Verdana" w:cs="Arial"/>
                <w:i/>
                <w:iCs/>
                <w:sz w:val="16"/>
                <w:szCs w:val="20"/>
              </w:rPr>
              <w:t>SR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D70651" w:rsidRDefault="008D0B0F" w:rsidP="008B1661">
            <w:pPr>
              <w:jc w:val="center"/>
              <w:rPr>
                <w:rFonts w:ascii="Verdana" w:hAnsi="Verdana" w:cs="Arial"/>
                <w:i/>
                <w:iCs/>
                <w:sz w:val="16"/>
                <w:szCs w:val="20"/>
              </w:rPr>
            </w:pPr>
            <w:r w:rsidRPr="00D70651">
              <w:rPr>
                <w:rFonts w:ascii="Verdana" w:hAnsi="Verdana" w:cs="Arial"/>
                <w:i/>
                <w:iCs/>
                <w:sz w:val="16"/>
                <w:szCs w:val="20"/>
              </w:rPr>
              <w:t>UR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D70651" w:rsidRDefault="008D0B0F" w:rsidP="008B1661">
            <w:pPr>
              <w:jc w:val="center"/>
              <w:rPr>
                <w:rFonts w:ascii="Verdana" w:hAnsi="Verdana" w:cs="Arial"/>
                <w:i/>
                <w:iCs/>
                <w:sz w:val="16"/>
                <w:szCs w:val="20"/>
              </w:rPr>
            </w:pPr>
            <w:r w:rsidRPr="00D70651">
              <w:rPr>
                <w:rFonts w:ascii="Verdana" w:hAnsi="Verdana" w:cs="Arial"/>
                <w:i/>
                <w:iCs/>
                <w:sz w:val="16"/>
                <w:szCs w:val="20"/>
              </w:rPr>
              <w:t>úprava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D70651" w:rsidRDefault="008D0B0F" w:rsidP="008B1661">
            <w:pPr>
              <w:jc w:val="center"/>
              <w:rPr>
                <w:rFonts w:ascii="Verdana" w:hAnsi="Verdana" w:cs="Arial"/>
                <w:i/>
                <w:iCs/>
                <w:sz w:val="16"/>
                <w:szCs w:val="20"/>
              </w:rPr>
            </w:pPr>
            <w:r w:rsidRPr="00D70651">
              <w:rPr>
                <w:rFonts w:ascii="Verdana" w:hAnsi="Verdana" w:cs="Arial"/>
                <w:i/>
                <w:iCs/>
                <w:sz w:val="16"/>
                <w:szCs w:val="20"/>
              </w:rPr>
              <w:t>UR po úpravě</w:t>
            </w:r>
          </w:p>
        </w:tc>
      </w:tr>
      <w:tr w:rsidR="008D0B0F" w:rsidRPr="00D70651" w:rsidTr="008B1661">
        <w:trPr>
          <w:trHeight w:val="22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D70651" w:rsidRDefault="008D0B0F" w:rsidP="008B1661">
            <w:pPr>
              <w:jc w:val="right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>3522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>5339</w:t>
            </w:r>
          </w:p>
          <w:p w:rsidR="008D0B0F" w:rsidRPr="00D70651" w:rsidRDefault="008D0B0F" w:rsidP="008B1661">
            <w:pPr>
              <w:jc w:val="right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>/6359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D70651" w:rsidRDefault="008D0B0F" w:rsidP="008B1661">
            <w:pPr>
              <w:jc w:val="right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>2200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D70651" w:rsidRDefault="008D0B0F" w:rsidP="008B1661">
            <w:pPr>
              <w:jc w:val="right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>52734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D70651" w:rsidRDefault="008D0B0F" w:rsidP="008B1661">
            <w:pPr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Nemocnice Kutná Hora – účelová dotace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B0F" w:rsidRPr="00D70651" w:rsidRDefault="008D0B0F" w:rsidP="008B1661">
            <w:pPr>
              <w:jc w:val="right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B0F" w:rsidRPr="00D70651" w:rsidRDefault="008D0B0F" w:rsidP="008B1661">
            <w:pPr>
              <w:jc w:val="right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B0F" w:rsidRPr="00D70651" w:rsidRDefault="008D0B0F" w:rsidP="008B1661">
            <w:pPr>
              <w:jc w:val="right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>1 000 000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0F" w:rsidRPr="00D70651" w:rsidRDefault="008D0B0F" w:rsidP="008B1661">
            <w:pPr>
              <w:jc w:val="right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>1 000 000</w:t>
            </w:r>
          </w:p>
        </w:tc>
      </w:tr>
      <w:tr w:rsidR="008D0B0F" w:rsidRPr="00D70651" w:rsidTr="008B1661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B0F" w:rsidRPr="00D70651" w:rsidRDefault="008D0B0F" w:rsidP="008B1661">
            <w:pPr>
              <w:jc w:val="right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B0F" w:rsidRPr="00D70651" w:rsidRDefault="008D0B0F" w:rsidP="008B1661">
            <w:pPr>
              <w:jc w:val="right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>8115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B0F" w:rsidRPr="00D70651" w:rsidRDefault="008D0B0F" w:rsidP="008B1661">
            <w:pPr>
              <w:jc w:val="right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B0F" w:rsidRPr="00D70651" w:rsidRDefault="008D0B0F" w:rsidP="008B1661">
            <w:pPr>
              <w:jc w:val="right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0F" w:rsidRPr="00D70651" w:rsidRDefault="008D0B0F" w:rsidP="008B1661">
            <w:pPr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>Zapojení zůstatku z minulých let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B0F" w:rsidRPr="00D70651" w:rsidRDefault="008D0B0F" w:rsidP="008B1661">
            <w:pPr>
              <w:jc w:val="right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>25 000 000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B0F" w:rsidRPr="00D70651" w:rsidRDefault="008D0B0F" w:rsidP="008B1661">
            <w:pPr>
              <w:jc w:val="right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>25 000 000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B0F" w:rsidRPr="00D70651" w:rsidRDefault="008D0B0F" w:rsidP="008B1661">
            <w:pPr>
              <w:jc w:val="right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>1 000 000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0F" w:rsidRPr="00D70651" w:rsidRDefault="008D0B0F" w:rsidP="008B1661">
            <w:pPr>
              <w:jc w:val="right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>26 000 000</w:t>
            </w:r>
          </w:p>
        </w:tc>
      </w:tr>
    </w:tbl>
    <w:p w:rsidR="008D0B0F" w:rsidRDefault="008D0B0F" w:rsidP="008D0B0F">
      <w:pPr>
        <w:rPr>
          <w:rFonts w:ascii="Verdana" w:hAnsi="Verdana"/>
          <w:noProof/>
          <w:sz w:val="20"/>
          <w:szCs w:val="20"/>
        </w:rPr>
      </w:pPr>
    </w:p>
    <w:p w:rsidR="008D0B0F" w:rsidRDefault="00595F45" w:rsidP="008D0B0F">
      <w:pPr>
        <w:shd w:val="clear" w:color="auto" w:fill="DBE5F1" w:themeFill="accent1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5F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Usnesení č. 11/18 k návrhu na rozpočtové opatření EKO č. 3 - 6</w:t>
      </w:r>
      <w:r w:rsidRPr="00595F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Zastupitelstvo města s c h v a l u j e</w:t>
      </w:r>
      <w:r w:rsidRPr="00595F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a) předložený návrh na rozpočtové opatření EKO č. 3 - kterým dochází k navýšení rozpočtových prostředků z důvodu zapojení nedočerpaného úvěru z roku 2016 ve výši 24 635 205,30 Kč a zapojení úvěru z roku 2017 ve výši 45 450 000 Kč dle důvodové zprávy č 1.</w:t>
      </w:r>
      <w:r w:rsidRPr="00595F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95F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předložený návrh na rozpočtové opatření EKO č. 4 - kterým dochází k dodatečnému zapojení finančního zůstatku z roku 2017 ve výši 30 671 065 Kč dle důvodové zprávy č. 2</w:t>
      </w:r>
      <w:r w:rsidRPr="00595F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95F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předložený návrh na rozpočtové opatření EKO č. 5; zapojení nedočerpaných prostředků z depozitního účtu do rozpočtu roku 2018 ve výši 1 335 847 Kč dle důvodové zprávy č. 3</w:t>
      </w:r>
      <w:r w:rsidRPr="00595F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95F4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  <w:t xml:space="preserve">Zodpovídá : Ing. </w:t>
      </w:r>
      <w:proofErr w:type="spellStart"/>
      <w:proofErr w:type="gramStart"/>
      <w:r w:rsidRPr="00595F45">
        <w:rPr>
          <w:rFonts w:ascii="Times New Roman" w:eastAsia="Times New Roman" w:hAnsi="Times New Roman" w:cs="Times New Roman"/>
          <w:sz w:val="24"/>
          <w:szCs w:val="24"/>
          <w:lang w:eastAsia="cs-CZ"/>
        </w:rPr>
        <w:t>R.Zahradníček</w:t>
      </w:r>
      <w:proofErr w:type="spellEnd"/>
      <w:proofErr w:type="gramEnd"/>
      <w:r w:rsidRPr="00595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    Termín : 28.02.18</w:t>
      </w:r>
    </w:p>
    <w:p w:rsidR="008D0B0F" w:rsidRPr="008B544D" w:rsidRDefault="008D0B0F" w:rsidP="008D0B0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500E6" wp14:editId="3EB0581A">
                <wp:simplePos x="0" y="0"/>
                <wp:positionH relativeFrom="column">
                  <wp:posOffset>-5715</wp:posOffset>
                </wp:positionH>
                <wp:positionV relativeFrom="paragraph">
                  <wp:posOffset>189865</wp:posOffset>
                </wp:positionV>
                <wp:extent cx="5924550" cy="0"/>
                <wp:effectExtent l="0" t="0" r="1905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14.95pt" to="466.0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zk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wuJvl0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"/>
            </w:pict>
          </mc:Fallback>
        </mc:AlternateContent>
      </w:r>
      <w:r w:rsidRPr="008B544D">
        <w:rPr>
          <w:rFonts w:ascii="Verdana" w:hAnsi="Verdana"/>
          <w:sz w:val="20"/>
          <w:szCs w:val="20"/>
        </w:rPr>
        <w:t>Důvodová zpráva:</w:t>
      </w:r>
    </w:p>
    <w:p w:rsidR="008D0B0F" w:rsidRDefault="008D0B0F" w:rsidP="008D0B0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1) </w:t>
      </w:r>
      <w:r w:rsidRPr="005A5C3E">
        <w:rPr>
          <w:rFonts w:ascii="Verdana" w:hAnsi="Verdana"/>
          <w:b/>
          <w:sz w:val="20"/>
          <w:szCs w:val="20"/>
        </w:rPr>
        <w:t xml:space="preserve">Rozpočtové opatření </w:t>
      </w:r>
      <w:r>
        <w:rPr>
          <w:rFonts w:ascii="Verdana" w:hAnsi="Verdana"/>
          <w:b/>
          <w:sz w:val="20"/>
          <w:szCs w:val="20"/>
        </w:rPr>
        <w:t>EKO</w:t>
      </w:r>
      <w:r w:rsidRPr="005A5C3E">
        <w:rPr>
          <w:rFonts w:ascii="Verdana" w:hAnsi="Verdana"/>
          <w:b/>
          <w:sz w:val="20"/>
          <w:szCs w:val="20"/>
        </w:rPr>
        <w:t xml:space="preserve"> č.</w:t>
      </w:r>
      <w:r>
        <w:rPr>
          <w:rFonts w:ascii="Verdana" w:hAnsi="Verdana"/>
          <w:b/>
          <w:sz w:val="20"/>
          <w:szCs w:val="20"/>
        </w:rPr>
        <w:t xml:space="preserve"> 3</w:t>
      </w:r>
      <w:r w:rsidRPr="005A5C3E">
        <w:rPr>
          <w:rFonts w:ascii="Verdana" w:hAnsi="Verdana"/>
          <w:sz w:val="20"/>
          <w:szCs w:val="20"/>
        </w:rPr>
        <w:t xml:space="preserve"> - </w:t>
      </w:r>
      <w:r>
        <w:rPr>
          <w:rFonts w:ascii="Verdana" w:hAnsi="Verdana"/>
          <w:sz w:val="20"/>
          <w:szCs w:val="20"/>
        </w:rPr>
        <w:t>navýšení</w:t>
      </w:r>
      <w:r w:rsidRPr="005A5C3E">
        <w:rPr>
          <w:rFonts w:ascii="Verdana" w:hAnsi="Verdana"/>
          <w:sz w:val="20"/>
          <w:szCs w:val="20"/>
        </w:rPr>
        <w:t xml:space="preserve"> rozpočtových prostředků (§ 16, odst. 3, </w:t>
      </w:r>
      <w:proofErr w:type="spellStart"/>
      <w:proofErr w:type="gramStart"/>
      <w:r w:rsidRPr="005A5C3E">
        <w:rPr>
          <w:rFonts w:ascii="Verdana" w:hAnsi="Verdana"/>
          <w:sz w:val="20"/>
          <w:szCs w:val="20"/>
        </w:rPr>
        <w:t>písm.</w:t>
      </w:r>
      <w:r>
        <w:rPr>
          <w:rFonts w:ascii="Verdana" w:hAnsi="Verdana"/>
          <w:sz w:val="20"/>
          <w:szCs w:val="20"/>
        </w:rPr>
        <w:t>b</w:t>
      </w:r>
      <w:proofErr w:type="spellEnd"/>
      <w:r w:rsidRPr="005A5C3E">
        <w:rPr>
          <w:rFonts w:ascii="Verdana" w:hAnsi="Verdana"/>
          <w:sz w:val="20"/>
          <w:szCs w:val="20"/>
        </w:rPr>
        <w:t>) zákona</w:t>
      </w:r>
      <w:proofErr w:type="gramEnd"/>
      <w:r w:rsidRPr="005A5C3E">
        <w:rPr>
          <w:rFonts w:ascii="Verdana" w:hAnsi="Verdana"/>
          <w:sz w:val="20"/>
          <w:szCs w:val="20"/>
        </w:rPr>
        <w:t xml:space="preserve"> č. 250/2000 Sb.)</w:t>
      </w:r>
      <w:r>
        <w:rPr>
          <w:rFonts w:ascii="Verdana" w:hAnsi="Verdana"/>
          <w:sz w:val="20"/>
          <w:szCs w:val="20"/>
        </w:rPr>
        <w:t xml:space="preserve">. </w:t>
      </w:r>
    </w:p>
    <w:p w:rsidR="008D0B0F" w:rsidRPr="005A5C3E" w:rsidRDefault="008D0B0F" w:rsidP="008D0B0F">
      <w:pPr>
        <w:jc w:val="both"/>
        <w:rPr>
          <w:rFonts w:ascii="Verdana" w:hAnsi="Verdana"/>
          <w:b/>
          <w:sz w:val="20"/>
          <w:szCs w:val="20"/>
        </w:rPr>
      </w:pPr>
      <w:r w:rsidRPr="005A5C3E">
        <w:rPr>
          <w:rFonts w:ascii="Verdana" w:hAnsi="Verdana"/>
          <w:b/>
          <w:sz w:val="20"/>
          <w:szCs w:val="20"/>
        </w:rPr>
        <w:t>Částka</w:t>
      </w:r>
      <w:r>
        <w:rPr>
          <w:rFonts w:ascii="Verdana" w:hAnsi="Verdana"/>
          <w:b/>
          <w:sz w:val="20"/>
          <w:szCs w:val="20"/>
        </w:rPr>
        <w:t xml:space="preserve"> 70 085 205,30</w:t>
      </w:r>
      <w:r>
        <w:rPr>
          <w:rFonts w:ascii="Verdana" w:hAnsi="Verdana" w:cs="Arial"/>
          <w:b/>
          <w:sz w:val="20"/>
          <w:szCs w:val="20"/>
        </w:rPr>
        <w:t> </w:t>
      </w:r>
      <w:r w:rsidRPr="001057E8">
        <w:rPr>
          <w:rFonts w:ascii="Verdana" w:hAnsi="Verdana" w:cs="Arial"/>
          <w:b/>
          <w:bCs/>
          <w:color w:val="000000"/>
          <w:sz w:val="20"/>
          <w:szCs w:val="20"/>
        </w:rPr>
        <w:t>Kč</w:t>
      </w:r>
    </w:p>
    <w:p w:rsidR="008D0B0F" w:rsidRDefault="008D0B0F" w:rsidP="008D0B0F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5A5C3E">
        <w:rPr>
          <w:rFonts w:ascii="Verdana" w:hAnsi="Verdana"/>
          <w:b/>
          <w:sz w:val="20"/>
          <w:szCs w:val="20"/>
        </w:rPr>
        <w:t>Zdůvodnění</w:t>
      </w:r>
      <w:r w:rsidRPr="005A5C3E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Předkládáme návrh na </w:t>
      </w:r>
      <w:r w:rsidRPr="00B31C04">
        <w:rPr>
          <w:rFonts w:ascii="Verdana" w:hAnsi="Verdana"/>
          <w:sz w:val="20"/>
          <w:szCs w:val="20"/>
        </w:rPr>
        <w:t>rozpočtové opatření, kterým</w:t>
      </w:r>
      <w:r w:rsidRPr="00A77F8C">
        <w:rPr>
          <w:rFonts w:ascii="Verdana" w:hAnsi="Verdana"/>
          <w:sz w:val="20"/>
          <w:szCs w:val="20"/>
        </w:rPr>
        <w:t xml:space="preserve"> dochází </w:t>
      </w:r>
      <w:r w:rsidRPr="00EC6533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 xml:space="preserve">  zapojení nedočerpaného </w:t>
      </w:r>
      <w:r w:rsidRPr="00793209">
        <w:rPr>
          <w:rFonts w:ascii="Verdana" w:hAnsi="Verdana"/>
          <w:sz w:val="20"/>
          <w:szCs w:val="20"/>
        </w:rPr>
        <w:t>úvěru</w:t>
      </w:r>
      <w:r>
        <w:rPr>
          <w:rFonts w:ascii="Verdana" w:hAnsi="Verdana"/>
          <w:sz w:val="20"/>
          <w:szCs w:val="20"/>
        </w:rPr>
        <w:t xml:space="preserve"> z roku 2016</w:t>
      </w:r>
      <w:r w:rsidRPr="00793209">
        <w:rPr>
          <w:rFonts w:ascii="Verdana" w:hAnsi="Verdana"/>
          <w:sz w:val="20"/>
          <w:szCs w:val="20"/>
        </w:rPr>
        <w:t xml:space="preserve"> ve výši </w:t>
      </w:r>
      <w:r>
        <w:rPr>
          <w:rFonts w:ascii="Verdana" w:hAnsi="Verdana"/>
          <w:sz w:val="20"/>
          <w:szCs w:val="20"/>
        </w:rPr>
        <w:t>24 635 205,30  Kč a zapojení úvěru z roku 2017 ve výši 45 450 000</w:t>
      </w:r>
      <w:r w:rsidRPr="00793209">
        <w:rPr>
          <w:rFonts w:ascii="Verdana" w:hAnsi="Verdana"/>
          <w:sz w:val="20"/>
          <w:szCs w:val="20"/>
        </w:rPr>
        <w:t> Kč</w:t>
      </w:r>
      <w:r>
        <w:rPr>
          <w:rFonts w:ascii="Verdana" w:hAnsi="Verdana"/>
          <w:sz w:val="20"/>
          <w:szCs w:val="20"/>
        </w:rPr>
        <w:t xml:space="preserve"> takto:</w:t>
      </w:r>
    </w:p>
    <w:p w:rsidR="008D0B0F" w:rsidRDefault="008D0B0F" w:rsidP="008D0B0F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Sportovní hala Klimeška – potřeba pro rok 2018 je dle sdělení investičního odboru 44 450 tis. Kč, proto dochází k zapojení dalších 22 450tis. Kč z nového úvěru. Použití bylo schváleno usnesením Zastupitelstva č. 118/17.</w:t>
      </w:r>
    </w:p>
    <w:p w:rsidR="008D0B0F" w:rsidRDefault="008D0B0F" w:rsidP="008D0B0F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Knihovna Na Náměti – překládáme zapojení celé schválené částky úvěru z roku 2017 do rozpočtu roku 2018 – usnesení Zastupitelstva č. 132/17</w:t>
      </w:r>
    </w:p>
    <w:p w:rsidR="008D0B0F" w:rsidRPr="00B71EC2" w:rsidRDefault="008D0B0F" w:rsidP="008D0B0F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Pr="00B71EC2">
        <w:rPr>
          <w:rFonts w:ascii="Verdana" w:hAnsi="Verdana"/>
          <w:sz w:val="20"/>
          <w:szCs w:val="20"/>
        </w:rPr>
        <w:t xml:space="preserve">ýkupy pozemků </w:t>
      </w:r>
      <w:r>
        <w:rPr>
          <w:rFonts w:ascii="Verdana" w:hAnsi="Verdana"/>
          <w:sz w:val="20"/>
          <w:szCs w:val="20"/>
        </w:rPr>
        <w:t>je třeba navýšit o</w:t>
      </w:r>
      <w:r w:rsidRPr="00B71EC2">
        <w:rPr>
          <w:rFonts w:ascii="Verdana" w:hAnsi="Verdana"/>
          <w:sz w:val="20"/>
          <w:szCs w:val="20"/>
        </w:rPr>
        <w:t xml:space="preserve"> 29 mil. Kč. </w:t>
      </w:r>
      <w:r>
        <w:rPr>
          <w:rFonts w:ascii="Verdana" w:hAnsi="Verdana"/>
          <w:sz w:val="20"/>
          <w:szCs w:val="20"/>
        </w:rPr>
        <w:t xml:space="preserve">Proto dojde k navýšení této položky z úvěru z roku 2016 v celkové částce 24 635 205,03 – zbývající částka bude pokryta následujícím rozpočtovým opatřením. </w:t>
      </w:r>
      <w:r w:rsidRPr="00B71EC2">
        <w:rPr>
          <w:rFonts w:ascii="Verdana" w:hAnsi="Verdana"/>
          <w:sz w:val="20"/>
          <w:szCs w:val="20"/>
        </w:rPr>
        <w:t>OSM připravuje rozsáhlé a finančně nákladné výkupy následujících pozemků:</w:t>
      </w:r>
    </w:p>
    <w:p w:rsidR="008D0B0F" w:rsidRPr="00B71EC2" w:rsidRDefault="008D0B0F" w:rsidP="008D0B0F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Verdana" w:hAnsi="Verdana"/>
          <w:sz w:val="20"/>
          <w:szCs w:val="20"/>
        </w:rPr>
      </w:pPr>
      <w:r w:rsidRPr="00B71EC2">
        <w:rPr>
          <w:rFonts w:ascii="Verdana" w:hAnsi="Verdana"/>
          <w:sz w:val="20"/>
          <w:szCs w:val="20"/>
        </w:rPr>
        <w:t>Pozemky Státního statku Čáslav, kde byla dojednána kupní cena ve výši 18.723.215,- Kč,</w:t>
      </w:r>
    </w:p>
    <w:p w:rsidR="008D0B0F" w:rsidRPr="00B71EC2" w:rsidRDefault="008D0B0F" w:rsidP="008D0B0F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B71EC2">
        <w:rPr>
          <w:rFonts w:ascii="Verdana" w:hAnsi="Verdana"/>
          <w:sz w:val="20"/>
          <w:szCs w:val="20"/>
        </w:rPr>
        <w:t>ozemky od spol. České dráhy, a.s. (městské i hlavní vlakové nádraží) ve výši cca 7 mil. Kč,</w:t>
      </w:r>
    </w:p>
    <w:p w:rsidR="008D0B0F" w:rsidRPr="00B71EC2" w:rsidRDefault="008D0B0F" w:rsidP="008D0B0F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Verdana" w:hAnsi="Verdana"/>
          <w:sz w:val="20"/>
          <w:szCs w:val="20"/>
        </w:rPr>
      </w:pPr>
      <w:r w:rsidRPr="00B71EC2">
        <w:rPr>
          <w:rFonts w:ascii="Verdana" w:hAnsi="Verdana"/>
          <w:sz w:val="20"/>
          <w:szCs w:val="20"/>
        </w:rPr>
        <w:t>Je uzavřena smlouva o smlouvě budoucí kupní na výkup pozemků v ul. Potoční v Kutné Hoře na částku 1.033.950,- Kč,</w:t>
      </w:r>
    </w:p>
    <w:p w:rsidR="008D0B0F" w:rsidRPr="00B71EC2" w:rsidRDefault="008D0B0F" w:rsidP="008D0B0F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Verdana" w:hAnsi="Verdana"/>
          <w:sz w:val="20"/>
          <w:szCs w:val="20"/>
        </w:rPr>
      </w:pPr>
      <w:r w:rsidRPr="00B71EC2">
        <w:rPr>
          <w:rFonts w:ascii="Verdana" w:hAnsi="Verdana"/>
          <w:sz w:val="20"/>
          <w:szCs w:val="20"/>
        </w:rPr>
        <w:t>Právní zástupce města jedná s vlastníkem o vyřešení pozemků kolem kotelny spol. KH Tebis, s.r.o., dohoda ještě nebyla učiněna, s rezervou navrhujeme 2 mil. Kč.</w:t>
      </w:r>
    </w:p>
    <w:p w:rsidR="008D0B0F" w:rsidRPr="00B71EC2" w:rsidRDefault="008D0B0F" w:rsidP="008D0B0F">
      <w:pPr>
        <w:pStyle w:val="Odstavecseseznamem"/>
        <w:jc w:val="both"/>
        <w:rPr>
          <w:rFonts w:ascii="Verdana" w:hAnsi="Verdana"/>
          <w:sz w:val="20"/>
          <w:szCs w:val="20"/>
        </w:rPr>
      </w:pPr>
    </w:p>
    <w:tbl>
      <w:tblPr>
        <w:tblW w:w="111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619"/>
        <w:gridCol w:w="618"/>
        <w:gridCol w:w="816"/>
        <w:gridCol w:w="1876"/>
        <w:gridCol w:w="561"/>
        <w:gridCol w:w="696"/>
        <w:gridCol w:w="800"/>
        <w:gridCol w:w="476"/>
        <w:gridCol w:w="1020"/>
        <w:gridCol w:w="397"/>
        <w:gridCol w:w="1099"/>
        <w:gridCol w:w="177"/>
        <w:gridCol w:w="1319"/>
      </w:tblGrid>
      <w:tr w:rsidR="008D0B0F" w:rsidTr="008B1661">
        <w:trPr>
          <w:trHeight w:val="288"/>
        </w:trPr>
        <w:tc>
          <w:tcPr>
            <w:tcW w:w="5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Rozpočtová skladba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D0B0F" w:rsidTr="008D0B0F">
        <w:trPr>
          <w:gridAfter w:val="1"/>
          <w:wAfter w:w="1319" w:type="dxa"/>
          <w:trHeight w:val="28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 xml:space="preserve">OdPa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 xml:space="preserve">SpPo 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 xml:space="preserve">OrJ 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OrgC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 xml:space="preserve">Text                         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SR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UR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úprava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UR po úpravě</w:t>
            </w:r>
          </w:p>
        </w:tc>
      </w:tr>
      <w:tr w:rsidR="008D0B0F" w:rsidTr="008D0B0F">
        <w:trPr>
          <w:gridAfter w:val="1"/>
          <w:wAfter w:w="1319" w:type="dxa"/>
          <w:trHeight w:val="288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3412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6121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2490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16421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Sportovní hala Klimeška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3366"/>
                <w:sz w:val="14"/>
                <w:szCs w:val="16"/>
              </w:rPr>
            </w:pPr>
            <w:r w:rsidRPr="008D0B0F">
              <w:rPr>
                <w:rFonts w:ascii="Verdana" w:hAnsi="Verdana"/>
                <w:color w:val="003366"/>
                <w:sz w:val="14"/>
                <w:szCs w:val="16"/>
              </w:rPr>
              <w:t>22 000 000,00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22 000 000,00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3366"/>
                <w:sz w:val="14"/>
                <w:szCs w:val="16"/>
              </w:rPr>
            </w:pPr>
            <w:r w:rsidRPr="008D0B0F">
              <w:rPr>
                <w:rFonts w:ascii="Verdana" w:hAnsi="Verdana"/>
                <w:color w:val="003366"/>
                <w:sz w:val="14"/>
                <w:szCs w:val="16"/>
              </w:rPr>
              <w:t>22 450 000,00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44 450 000,00</w:t>
            </w:r>
          </w:p>
        </w:tc>
      </w:tr>
      <w:tr w:rsidR="008D0B0F" w:rsidTr="008D0B0F">
        <w:trPr>
          <w:gridAfter w:val="1"/>
          <w:wAfter w:w="1319" w:type="dxa"/>
          <w:trHeight w:val="288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3314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6121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2490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17751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Knihovna - Na Náměti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3366"/>
                <w:sz w:val="14"/>
                <w:szCs w:val="16"/>
              </w:rPr>
            </w:pPr>
            <w:r w:rsidRPr="008D0B0F">
              <w:rPr>
                <w:rFonts w:ascii="Verdana" w:hAnsi="Verdana"/>
                <w:color w:val="003366"/>
                <w:sz w:val="14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23 000 000,00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23 000 000,00</w:t>
            </w:r>
          </w:p>
        </w:tc>
      </w:tr>
      <w:tr w:rsidR="008D0B0F" w:rsidTr="008D0B0F">
        <w:trPr>
          <w:gridAfter w:val="1"/>
          <w:wAfter w:w="1319" w:type="dxa"/>
          <w:trHeight w:val="408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3639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6130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2997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 xml:space="preserve">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Výkupy pozemků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3 040 000,00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3 040 000,00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24 635 205,03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27 675 205,03</w:t>
            </w:r>
          </w:p>
        </w:tc>
      </w:tr>
      <w:tr w:rsidR="008D0B0F" w:rsidTr="008D0B0F">
        <w:trPr>
          <w:gridAfter w:val="1"/>
          <w:wAfter w:w="1319" w:type="dxa"/>
          <w:trHeight w:val="288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 xml:space="preserve">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8123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proofErr w:type="gramStart"/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Kap.23</w:t>
            </w:r>
            <w:proofErr w:type="gram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 xml:space="preserve">Úvěr KB (94 </w:t>
            </w:r>
            <w:proofErr w:type="spellStart"/>
            <w:proofErr w:type="gramStart"/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mil.Kč</w:t>
            </w:r>
            <w:proofErr w:type="spellEnd"/>
            <w:proofErr w:type="gramEnd"/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 xml:space="preserve">)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15 500 000,00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15 500 000,00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24 635 205,03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40 135 205,03</w:t>
            </w:r>
          </w:p>
        </w:tc>
      </w:tr>
      <w:tr w:rsidR="008D0B0F" w:rsidTr="008D0B0F">
        <w:trPr>
          <w:gridAfter w:val="1"/>
          <w:wAfter w:w="1319" w:type="dxa"/>
          <w:trHeight w:val="288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8123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Kap. 25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 xml:space="preserve">Úvěr ČS (150 </w:t>
            </w:r>
            <w:proofErr w:type="spellStart"/>
            <w:proofErr w:type="gramStart"/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mil.Kč</w:t>
            </w:r>
            <w:proofErr w:type="spellEnd"/>
            <w:proofErr w:type="gramEnd"/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)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61 500 000,00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61 500 000,00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45 450 000,00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106 950 000,00</w:t>
            </w:r>
          </w:p>
        </w:tc>
      </w:tr>
    </w:tbl>
    <w:p w:rsidR="008D0B0F" w:rsidRDefault="008D0B0F" w:rsidP="008D0B0F">
      <w:pPr>
        <w:jc w:val="both"/>
        <w:rPr>
          <w:rFonts w:ascii="Verdana" w:hAnsi="Verdana"/>
          <w:sz w:val="20"/>
          <w:szCs w:val="20"/>
        </w:rPr>
      </w:pPr>
    </w:p>
    <w:p w:rsidR="008D0B0F" w:rsidRPr="00580EF2" w:rsidRDefault="008D0B0F" w:rsidP="008D0B0F">
      <w:pPr>
        <w:spacing w:before="120" w:after="2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2) R</w:t>
      </w:r>
      <w:r w:rsidRPr="00DF65F1">
        <w:rPr>
          <w:rFonts w:ascii="Verdana" w:hAnsi="Verdana"/>
          <w:b/>
          <w:sz w:val="20"/>
          <w:szCs w:val="20"/>
        </w:rPr>
        <w:t>ozpočtové opatření E</w:t>
      </w:r>
      <w:r>
        <w:rPr>
          <w:rFonts w:ascii="Verdana" w:hAnsi="Verdana"/>
          <w:b/>
          <w:sz w:val="20"/>
          <w:szCs w:val="20"/>
        </w:rPr>
        <w:t>K</w:t>
      </w:r>
      <w:r w:rsidRPr="00DF65F1">
        <w:rPr>
          <w:rFonts w:ascii="Verdana" w:hAnsi="Verdana"/>
          <w:b/>
          <w:sz w:val="20"/>
          <w:szCs w:val="20"/>
        </w:rPr>
        <w:t xml:space="preserve">O č. </w:t>
      </w:r>
      <w:r>
        <w:rPr>
          <w:rFonts w:ascii="Verdana" w:hAnsi="Verdana"/>
          <w:b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</w:t>
      </w:r>
      <w:r w:rsidRPr="00580EF2">
        <w:rPr>
          <w:rFonts w:ascii="Verdana" w:hAnsi="Verdana"/>
          <w:sz w:val="20"/>
          <w:szCs w:val="20"/>
        </w:rPr>
        <w:t xml:space="preserve">– navýšení </w:t>
      </w:r>
      <w:r>
        <w:rPr>
          <w:rFonts w:ascii="Verdana" w:hAnsi="Verdana"/>
          <w:sz w:val="20"/>
          <w:szCs w:val="20"/>
        </w:rPr>
        <w:t xml:space="preserve">rozpočtu </w:t>
      </w:r>
      <w:r w:rsidRPr="00580EF2">
        <w:rPr>
          <w:rFonts w:ascii="Verdana" w:hAnsi="Verdana"/>
          <w:sz w:val="20"/>
          <w:szCs w:val="20"/>
        </w:rPr>
        <w:t>(§ 16, odst. 3, písm. b) zákona č. 250/2000 Sb.)</w:t>
      </w:r>
    </w:p>
    <w:p w:rsidR="008D0B0F" w:rsidRPr="00DF65F1" w:rsidRDefault="008D0B0F" w:rsidP="008D0B0F">
      <w:pPr>
        <w:spacing w:before="120" w:after="240"/>
        <w:jc w:val="both"/>
        <w:rPr>
          <w:rFonts w:ascii="Verdana" w:hAnsi="Verdana"/>
          <w:b/>
          <w:sz w:val="20"/>
          <w:szCs w:val="20"/>
        </w:rPr>
      </w:pPr>
      <w:r w:rsidRPr="00DF65F1">
        <w:rPr>
          <w:rFonts w:ascii="Verdana" w:hAnsi="Verdana"/>
          <w:b/>
          <w:sz w:val="20"/>
          <w:szCs w:val="20"/>
        </w:rPr>
        <w:t xml:space="preserve">Částka: </w:t>
      </w:r>
      <w:r>
        <w:rPr>
          <w:rFonts w:ascii="Verdana" w:hAnsi="Verdana"/>
          <w:b/>
          <w:sz w:val="20"/>
          <w:szCs w:val="20"/>
        </w:rPr>
        <w:t>30 671 065</w:t>
      </w:r>
      <w:r w:rsidRPr="00DF65F1">
        <w:rPr>
          <w:rFonts w:ascii="Verdana" w:hAnsi="Verdana"/>
          <w:b/>
          <w:sz w:val="20"/>
          <w:szCs w:val="20"/>
        </w:rPr>
        <w:t>,-- Kč</w:t>
      </w:r>
    </w:p>
    <w:p w:rsidR="008D0B0F" w:rsidRDefault="008D0B0F" w:rsidP="008D0B0F">
      <w:pPr>
        <w:spacing w:before="240" w:after="240"/>
        <w:jc w:val="both"/>
        <w:outlineLvl w:val="0"/>
        <w:rPr>
          <w:rFonts w:ascii="Verdana" w:hAnsi="Verdana"/>
          <w:sz w:val="20"/>
          <w:szCs w:val="20"/>
        </w:rPr>
      </w:pPr>
      <w:r w:rsidRPr="00DF65F1">
        <w:rPr>
          <w:rFonts w:ascii="Verdana" w:hAnsi="Verdana"/>
          <w:b/>
          <w:sz w:val="20"/>
          <w:szCs w:val="20"/>
        </w:rPr>
        <w:lastRenderedPageBreak/>
        <w:t>Zdůvodnění</w:t>
      </w:r>
      <w:r w:rsidRPr="00580EF2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Předkládáme návrh na rozpočtové opatření, kterým dochází k dodatečnému zapojení kladného zůstatku na bankovních účtech z konce roku 2017 ve výši 30 671 065 Kč. </w:t>
      </w:r>
    </w:p>
    <w:p w:rsidR="008D0B0F" w:rsidRDefault="008D0B0F" w:rsidP="008D0B0F">
      <w:pPr>
        <w:spacing w:before="240" w:after="240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Uvedené finanční prostředky budou použity na krytí těchto požadavků:</w:t>
      </w:r>
    </w:p>
    <w:p w:rsidR="008D0B0F" w:rsidRDefault="008D0B0F" w:rsidP="008D0B0F">
      <w:pPr>
        <w:pStyle w:val="Odstavecseseznamem"/>
        <w:numPr>
          <w:ilvl w:val="0"/>
          <w:numId w:val="1"/>
        </w:numPr>
        <w:spacing w:before="240" w:after="240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Vlašský dvůr – rekonstrukce – ve výši 6 516 065,-- Kč – tato částka představuje zapojení zůstatku na zvláštním účtu, který byl zřízen na tuto investiční akci </w:t>
      </w:r>
    </w:p>
    <w:p w:rsidR="008D0B0F" w:rsidRDefault="008D0B0F" w:rsidP="008D0B0F">
      <w:pPr>
        <w:pStyle w:val="Odstavecseseznamem"/>
        <w:numPr>
          <w:ilvl w:val="0"/>
          <w:numId w:val="1"/>
        </w:numPr>
        <w:spacing w:before="240" w:after="240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Výkup pozemku – ve výši 4 364 797,97 Kč dle důvodové zprávy 1) výše</w:t>
      </w:r>
    </w:p>
    <w:p w:rsidR="008D0B0F" w:rsidRPr="00684092" w:rsidRDefault="008D0B0F" w:rsidP="008D0B0F">
      <w:pPr>
        <w:pStyle w:val="Odstavecseseznamem"/>
        <w:numPr>
          <w:ilvl w:val="0"/>
          <w:numId w:val="1"/>
        </w:numPr>
        <w:spacing w:before="240" w:after="240"/>
        <w:jc w:val="both"/>
        <w:outlineLvl w:val="0"/>
        <w:rPr>
          <w:rFonts w:ascii="Verdana" w:hAnsi="Verdana"/>
          <w:sz w:val="20"/>
          <w:szCs w:val="20"/>
        </w:rPr>
      </w:pPr>
      <w:r w:rsidRPr="00684092">
        <w:rPr>
          <w:rFonts w:ascii="Verdana" w:hAnsi="Verdana"/>
          <w:sz w:val="20"/>
          <w:szCs w:val="20"/>
        </w:rPr>
        <w:t xml:space="preserve">Rekonstrukce střechy Havlíčkovo náměstí 87 – akce posunuta z roku 2017, kdy se nestihla </w:t>
      </w:r>
      <w:r>
        <w:rPr>
          <w:rFonts w:ascii="Verdana" w:hAnsi="Verdana"/>
          <w:sz w:val="20"/>
          <w:szCs w:val="20"/>
        </w:rPr>
        <w:t>realizovat. Usnesení č. 810/17 + vícenáklady, které jsou odhadnuty odborem investic.</w:t>
      </w:r>
    </w:p>
    <w:p w:rsidR="008D0B0F" w:rsidRPr="00F51B96" w:rsidRDefault="008D0B0F" w:rsidP="008D0B0F">
      <w:pPr>
        <w:pStyle w:val="Odstavecseseznamem"/>
        <w:numPr>
          <w:ilvl w:val="0"/>
          <w:numId w:val="1"/>
        </w:numPr>
        <w:spacing w:before="240" w:after="240"/>
        <w:jc w:val="both"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Dofinancování komunikace Fučíkova – kdy celkové odhadované náklady jsou 11 500 tis. Kč</w:t>
      </w:r>
    </w:p>
    <w:p w:rsidR="008D0B0F" w:rsidRPr="00EF673C" w:rsidRDefault="008D0B0F" w:rsidP="008D0B0F">
      <w:pPr>
        <w:pStyle w:val="Odstavecseseznamem"/>
        <w:numPr>
          <w:ilvl w:val="0"/>
          <w:numId w:val="1"/>
        </w:numPr>
        <w:spacing w:before="240" w:after="240"/>
        <w:jc w:val="both"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Zapojení neprofinancované částky v roce 2017 na druhou etapu revitalizace hřbitova ve výši 1 452 803 Kč. </w:t>
      </w:r>
    </w:p>
    <w:p w:rsidR="008D0B0F" w:rsidRPr="005B1231" w:rsidRDefault="008D0B0F" w:rsidP="008D0B0F">
      <w:pPr>
        <w:pStyle w:val="Odstavecseseznamem"/>
        <w:numPr>
          <w:ilvl w:val="0"/>
          <w:numId w:val="1"/>
        </w:numPr>
        <w:spacing w:before="240" w:after="240"/>
        <w:jc w:val="both"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Finanční vypořádání nedočerpané dotace na Asistenta prevence kriminality dle rozhodnutí č. 16 MV-25578-3/OBP-2017 ve výši 43 502 Kč</w:t>
      </w:r>
    </w:p>
    <w:p w:rsidR="008D0B0F" w:rsidRPr="005B1231" w:rsidRDefault="008D0B0F" w:rsidP="008D0B0F">
      <w:pPr>
        <w:pStyle w:val="Odstavecseseznamem"/>
        <w:numPr>
          <w:ilvl w:val="0"/>
          <w:numId w:val="1"/>
        </w:numPr>
        <w:spacing w:before="240" w:after="240"/>
        <w:jc w:val="both"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Zapojení nedočerpané dotace na „Zavedení strategického řízení MÚ KH“ ve výši 373 989,81 Kč</w:t>
      </w:r>
    </w:p>
    <w:p w:rsidR="008D0B0F" w:rsidRPr="000048CC" w:rsidRDefault="008D0B0F" w:rsidP="008D0B0F">
      <w:pPr>
        <w:pStyle w:val="Odstavecseseznamem"/>
        <w:numPr>
          <w:ilvl w:val="0"/>
          <w:numId w:val="1"/>
        </w:numPr>
        <w:spacing w:before="240" w:after="240"/>
        <w:jc w:val="both"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Zapojení nedočerpané dotace na projekt „Asistenti prevence kriminality v Kutné Hoře“ ve výši 545 382,33 Kč</w:t>
      </w:r>
    </w:p>
    <w:p w:rsidR="008D0B0F" w:rsidRPr="005B1231" w:rsidRDefault="008D0B0F" w:rsidP="008D0B0F">
      <w:pPr>
        <w:pStyle w:val="Odstavecseseznamem"/>
        <w:numPr>
          <w:ilvl w:val="0"/>
          <w:numId w:val="1"/>
        </w:numPr>
        <w:spacing w:before="240" w:after="240"/>
        <w:jc w:val="both"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Zbývající částka 4 424 527,89 Kč bude převedena do rozpočtové rezervy</w:t>
      </w:r>
    </w:p>
    <w:tbl>
      <w:tblPr>
        <w:tblW w:w="111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678"/>
        <w:gridCol w:w="678"/>
        <w:gridCol w:w="820"/>
        <w:gridCol w:w="1674"/>
        <w:gridCol w:w="580"/>
        <w:gridCol w:w="696"/>
        <w:gridCol w:w="800"/>
        <w:gridCol w:w="539"/>
        <w:gridCol w:w="957"/>
        <w:gridCol w:w="319"/>
        <w:gridCol w:w="1177"/>
        <w:gridCol w:w="99"/>
        <w:gridCol w:w="1397"/>
      </w:tblGrid>
      <w:tr w:rsidR="008D0B0F" w:rsidTr="008B1661">
        <w:trPr>
          <w:trHeight w:val="288"/>
        </w:trPr>
        <w:tc>
          <w:tcPr>
            <w:tcW w:w="5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Rozpočtová skladba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D0B0F" w:rsidTr="008D0B0F">
        <w:trPr>
          <w:gridAfter w:val="1"/>
          <w:wAfter w:w="1397" w:type="dxa"/>
          <w:trHeight w:val="28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i/>
                <w:iCs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i/>
                <w:iCs/>
                <w:color w:val="000000"/>
                <w:sz w:val="14"/>
                <w:szCs w:val="16"/>
              </w:rPr>
              <w:t xml:space="preserve">OdPa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i/>
                <w:iCs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i/>
                <w:iCs/>
                <w:color w:val="000000"/>
                <w:sz w:val="14"/>
                <w:szCs w:val="16"/>
              </w:rPr>
              <w:t xml:space="preserve">SpPo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i/>
                <w:iCs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i/>
                <w:iCs/>
                <w:color w:val="000000"/>
                <w:sz w:val="14"/>
                <w:szCs w:val="16"/>
              </w:rPr>
              <w:t xml:space="preserve">OrJ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i/>
                <w:iCs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i/>
                <w:iCs/>
                <w:color w:val="000000"/>
                <w:sz w:val="14"/>
                <w:szCs w:val="16"/>
              </w:rPr>
              <w:t>OrgC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i/>
                <w:iCs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i/>
                <w:iCs/>
                <w:color w:val="000000"/>
                <w:sz w:val="14"/>
                <w:szCs w:val="16"/>
              </w:rPr>
              <w:t xml:space="preserve">Text                 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i/>
                <w:iCs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i/>
                <w:iCs/>
                <w:color w:val="000000"/>
                <w:sz w:val="14"/>
                <w:szCs w:val="16"/>
              </w:rPr>
              <w:t>SR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i/>
                <w:iCs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i/>
                <w:iCs/>
                <w:color w:val="000000"/>
                <w:sz w:val="14"/>
                <w:szCs w:val="16"/>
              </w:rPr>
              <w:t>UR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i/>
                <w:iCs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i/>
                <w:iCs/>
                <w:color w:val="000000"/>
                <w:sz w:val="14"/>
                <w:szCs w:val="16"/>
              </w:rPr>
              <w:t>úprava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i/>
                <w:iCs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i/>
                <w:iCs/>
                <w:color w:val="000000"/>
                <w:sz w:val="14"/>
                <w:szCs w:val="16"/>
              </w:rPr>
              <w:t>UR po úpravě</w:t>
            </w:r>
          </w:p>
        </w:tc>
      </w:tr>
      <w:tr w:rsidR="008D0B0F" w:rsidTr="008D0B0F">
        <w:trPr>
          <w:gridAfter w:val="1"/>
          <w:wAfter w:w="1397" w:type="dxa"/>
          <w:trHeight w:val="52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8115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Zapojení zůstatku z minulých let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25 000 000,00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26 000 000,00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30 671 065,00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56 671 065,00</w:t>
            </w:r>
          </w:p>
        </w:tc>
      </w:tr>
      <w:tr w:rsidR="008D0B0F" w:rsidTr="008D0B0F">
        <w:trPr>
          <w:gridAfter w:val="1"/>
          <w:wAfter w:w="1397" w:type="dxa"/>
          <w:trHeight w:val="40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3613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6121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11749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Vlašský dvůr -  rekonstrukce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37 500 000,00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37 500 000,00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6 516 065,00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44 016 065,00</w:t>
            </w:r>
          </w:p>
        </w:tc>
      </w:tr>
      <w:tr w:rsidR="008D0B0F" w:rsidTr="008D0B0F">
        <w:trPr>
          <w:gridAfter w:val="1"/>
          <w:wAfter w:w="1397" w:type="dxa"/>
          <w:trHeight w:val="28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3639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6130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2997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 xml:space="preserve">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 xml:space="preserve">Výkupy pozemků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3 040 000,00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27 675 205,03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4 364 794,97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32 040 000,00</w:t>
            </w:r>
          </w:p>
        </w:tc>
      </w:tr>
      <w:tr w:rsidR="008D0B0F" w:rsidTr="008D0B0F">
        <w:trPr>
          <w:gridAfter w:val="1"/>
          <w:wAfter w:w="1397" w:type="dxa"/>
          <w:trHeight w:val="28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3613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5171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12007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 xml:space="preserve">Havlíčkovo </w:t>
            </w:r>
            <w:proofErr w:type="gramStart"/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nám.87</w:t>
            </w:r>
            <w:proofErr w:type="gramEnd"/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 xml:space="preserve"> – oprava střechy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1 850 000,00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1 850 000,00</w:t>
            </w:r>
          </w:p>
        </w:tc>
      </w:tr>
      <w:tr w:rsidR="008D0B0F" w:rsidTr="008D0B0F">
        <w:trPr>
          <w:gridAfter w:val="1"/>
          <w:wAfter w:w="1397" w:type="dxa"/>
          <w:trHeight w:val="28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2212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6121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20086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Komunikace Fučíkova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400 000,00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400 000,00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11 100 000,00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11 500 000,00</w:t>
            </w:r>
          </w:p>
        </w:tc>
      </w:tr>
      <w:tr w:rsidR="008D0B0F" w:rsidTr="008D0B0F">
        <w:trPr>
          <w:gridAfter w:val="1"/>
          <w:wAfter w:w="1397" w:type="dxa"/>
          <w:trHeight w:val="28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3632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6121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11016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Revitalizace hřbitovů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2 700 000,00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2 700 000,00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1 452 803,00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4 152 803,00</w:t>
            </w:r>
          </w:p>
        </w:tc>
      </w:tr>
      <w:tr w:rsidR="008D0B0F" w:rsidTr="008D0B0F">
        <w:trPr>
          <w:gridAfter w:val="1"/>
          <w:wAfter w:w="1397" w:type="dxa"/>
          <w:trHeight w:val="28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6402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5366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49022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FV - dotace APK (UZ 14032)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43 502,00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43 502,00</w:t>
            </w:r>
          </w:p>
        </w:tc>
      </w:tr>
      <w:tr w:rsidR="008D0B0F" w:rsidTr="008D0B0F">
        <w:trPr>
          <w:gridAfter w:val="1"/>
          <w:wAfter w:w="1397" w:type="dxa"/>
          <w:trHeight w:val="40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6171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5169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2059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62003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Zavedení strategického řízení MÚ KH (UZ 13013)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373 989,81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373 989,81</w:t>
            </w:r>
          </w:p>
        </w:tc>
      </w:tr>
      <w:tr w:rsidR="008D0B0F" w:rsidTr="008D0B0F">
        <w:trPr>
          <w:gridAfter w:val="1"/>
          <w:wAfter w:w="1397" w:type="dxa"/>
          <w:trHeight w:val="28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4349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5169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49027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APK - služby (UZ 13013)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545 382,33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545 382,33</w:t>
            </w:r>
          </w:p>
        </w:tc>
      </w:tr>
      <w:tr w:rsidR="008D0B0F" w:rsidTr="008D0B0F">
        <w:trPr>
          <w:gridAfter w:val="1"/>
          <w:wAfter w:w="1397" w:type="dxa"/>
          <w:trHeight w:val="28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6171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5901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Rozpočtová rezerva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1 468 527,00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2 550 627,00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4 424 527,89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8D0B0F" w:rsidRDefault="008D0B0F" w:rsidP="008B1661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8D0B0F">
              <w:rPr>
                <w:rFonts w:ascii="Verdana" w:hAnsi="Verdana"/>
                <w:color w:val="000000"/>
                <w:sz w:val="14"/>
                <w:szCs w:val="16"/>
              </w:rPr>
              <w:t>6 975 154,89</w:t>
            </w:r>
          </w:p>
        </w:tc>
      </w:tr>
    </w:tbl>
    <w:p w:rsidR="008D0B0F" w:rsidRDefault="008D0B0F" w:rsidP="008D0B0F">
      <w:pPr>
        <w:outlineLvl w:val="0"/>
        <w:rPr>
          <w:rFonts w:ascii="Verdana" w:hAnsi="Verdana"/>
          <w:b/>
          <w:sz w:val="20"/>
          <w:szCs w:val="20"/>
        </w:rPr>
      </w:pPr>
    </w:p>
    <w:p w:rsidR="008D0B0F" w:rsidRPr="003F3291" w:rsidRDefault="008D0B0F" w:rsidP="008D0B0F">
      <w:pPr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3) </w:t>
      </w:r>
      <w:r w:rsidRPr="00286433">
        <w:rPr>
          <w:rFonts w:ascii="Verdana" w:hAnsi="Verdana"/>
          <w:b/>
          <w:sz w:val="20"/>
          <w:szCs w:val="20"/>
        </w:rPr>
        <w:t xml:space="preserve">Rozpočtové opatření EKO č. </w:t>
      </w:r>
      <w:r>
        <w:rPr>
          <w:rFonts w:ascii="Verdana" w:hAnsi="Verdana"/>
          <w:b/>
          <w:sz w:val="20"/>
          <w:szCs w:val="20"/>
        </w:rPr>
        <w:t>5</w:t>
      </w:r>
      <w:r w:rsidRPr="00286433">
        <w:rPr>
          <w:rFonts w:ascii="Verdana" w:hAnsi="Verdana"/>
          <w:b/>
          <w:sz w:val="20"/>
          <w:szCs w:val="20"/>
        </w:rPr>
        <w:t xml:space="preserve"> </w:t>
      </w:r>
      <w:r w:rsidRPr="00286433">
        <w:rPr>
          <w:rFonts w:ascii="Verdana" w:hAnsi="Verdana"/>
          <w:sz w:val="20"/>
          <w:szCs w:val="20"/>
        </w:rPr>
        <w:t xml:space="preserve"> - </w:t>
      </w:r>
      <w:r>
        <w:rPr>
          <w:rFonts w:ascii="Verdana" w:hAnsi="Verdana"/>
          <w:sz w:val="20"/>
          <w:szCs w:val="20"/>
        </w:rPr>
        <w:t>navýšení</w:t>
      </w:r>
      <w:r w:rsidRPr="003F3291">
        <w:rPr>
          <w:rFonts w:ascii="Verdana" w:hAnsi="Verdana"/>
          <w:sz w:val="20"/>
          <w:szCs w:val="20"/>
        </w:rPr>
        <w:t xml:space="preserve"> rozpočtových prostředků (§ 16, odst. 3, písm. </w:t>
      </w:r>
      <w:r>
        <w:rPr>
          <w:rFonts w:ascii="Verdana" w:hAnsi="Verdana"/>
          <w:sz w:val="20"/>
          <w:szCs w:val="20"/>
        </w:rPr>
        <w:t>b</w:t>
      </w:r>
      <w:r w:rsidRPr="003F3291">
        <w:rPr>
          <w:rFonts w:ascii="Verdana" w:hAnsi="Verdana"/>
          <w:sz w:val="20"/>
          <w:szCs w:val="20"/>
        </w:rPr>
        <w:t>) zákona č. 250/2000 Sb.)</w:t>
      </w:r>
    </w:p>
    <w:p w:rsidR="008D0B0F" w:rsidRPr="00662C67" w:rsidRDefault="008D0B0F" w:rsidP="008D0B0F">
      <w:pPr>
        <w:outlineLvl w:val="0"/>
        <w:rPr>
          <w:rFonts w:ascii="Verdana" w:hAnsi="Verdana"/>
          <w:sz w:val="20"/>
          <w:szCs w:val="20"/>
        </w:rPr>
      </w:pPr>
    </w:p>
    <w:p w:rsidR="008D0B0F" w:rsidRPr="00662C67" w:rsidRDefault="008D0B0F" w:rsidP="008D0B0F">
      <w:pPr>
        <w:outlineLvl w:val="0"/>
        <w:rPr>
          <w:rFonts w:ascii="Verdana" w:hAnsi="Verdana"/>
          <w:b/>
          <w:sz w:val="20"/>
          <w:szCs w:val="20"/>
        </w:rPr>
      </w:pPr>
      <w:r w:rsidRPr="00662C67">
        <w:rPr>
          <w:rFonts w:ascii="Verdana" w:hAnsi="Verdana"/>
          <w:b/>
          <w:sz w:val="20"/>
          <w:szCs w:val="20"/>
        </w:rPr>
        <w:lastRenderedPageBreak/>
        <w:t>Částka:  </w:t>
      </w:r>
      <w:r>
        <w:rPr>
          <w:rFonts w:ascii="Verdana" w:hAnsi="Verdana"/>
          <w:b/>
          <w:sz w:val="20"/>
          <w:szCs w:val="20"/>
        </w:rPr>
        <w:t>1 335 847</w:t>
      </w:r>
      <w:r w:rsidRPr="00662C67">
        <w:rPr>
          <w:rFonts w:ascii="Verdana" w:hAnsi="Verdana"/>
          <w:b/>
          <w:sz w:val="20"/>
          <w:szCs w:val="20"/>
        </w:rPr>
        <w:t>,-- Kč</w:t>
      </w:r>
    </w:p>
    <w:p w:rsidR="008D0B0F" w:rsidRDefault="008D0B0F" w:rsidP="008D0B0F">
      <w:pPr>
        <w:spacing w:before="120" w:after="240"/>
        <w:jc w:val="both"/>
        <w:rPr>
          <w:rFonts w:ascii="Verdana" w:hAnsi="Verdana"/>
          <w:sz w:val="20"/>
          <w:szCs w:val="20"/>
        </w:rPr>
      </w:pPr>
      <w:r w:rsidRPr="00CA0622">
        <w:rPr>
          <w:rFonts w:ascii="Verdana" w:hAnsi="Verdana"/>
          <w:b/>
          <w:sz w:val="20"/>
          <w:szCs w:val="20"/>
        </w:rPr>
        <w:t>Zdůvodnění</w:t>
      </w:r>
      <w:r w:rsidRPr="00CA0622">
        <w:rPr>
          <w:rFonts w:ascii="Verdana" w:hAnsi="Verdana"/>
          <w:sz w:val="20"/>
          <w:szCs w:val="20"/>
        </w:rPr>
        <w:t>:</w:t>
      </w:r>
      <w:r w:rsidRPr="003F07E0">
        <w:rPr>
          <w:rFonts w:eastAsia="Calibri"/>
        </w:rPr>
        <w:t xml:space="preserve"> </w:t>
      </w:r>
      <w:r w:rsidRPr="00910A1B">
        <w:rPr>
          <w:rFonts w:ascii="Verdana" w:hAnsi="Verdana"/>
          <w:sz w:val="20"/>
          <w:szCs w:val="20"/>
        </w:rPr>
        <w:t>Z důvodu nedočerpání převedených rozpočtovaných mzdových prostředků roku 201</w:t>
      </w:r>
      <w:r>
        <w:rPr>
          <w:rFonts w:ascii="Verdana" w:hAnsi="Verdana"/>
          <w:sz w:val="20"/>
          <w:szCs w:val="20"/>
        </w:rPr>
        <w:t>7</w:t>
      </w:r>
      <w:r w:rsidRPr="00910A1B">
        <w:rPr>
          <w:rFonts w:ascii="Verdana" w:hAnsi="Verdana"/>
          <w:sz w:val="20"/>
          <w:szCs w:val="20"/>
        </w:rPr>
        <w:t xml:space="preserve"> na depozitním účtu předkládáme návrh na zapojení tohoto zůstatku do rozpočtu 201</w:t>
      </w:r>
      <w:r>
        <w:rPr>
          <w:rFonts w:ascii="Verdana" w:hAnsi="Verdana"/>
          <w:sz w:val="20"/>
          <w:szCs w:val="20"/>
        </w:rPr>
        <w:t xml:space="preserve">8 dle níže uvedené rozpočtové skladby. Navýšení částečně pokryje změny, které vycházejí z nařízení vlády č. č. 399/2017 </w:t>
      </w:r>
      <w:proofErr w:type="spellStart"/>
      <w:r>
        <w:rPr>
          <w:rFonts w:ascii="Verdana" w:hAnsi="Verdana"/>
          <w:sz w:val="20"/>
          <w:szCs w:val="20"/>
        </w:rPr>
        <w:t>Sb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 w:rsidRPr="008B1937">
        <w:rPr>
          <w:rFonts w:ascii="Verdana" w:hAnsi="Verdana"/>
          <w:sz w:val="20"/>
          <w:szCs w:val="20"/>
        </w:rPr>
        <w:t>kterým se mění nařízení vlády č. 222/2010 Sb., o katalogu prací ve veřejných službách</w:t>
      </w:r>
      <w:r>
        <w:rPr>
          <w:rFonts w:ascii="Verdana" w:hAnsi="Verdana"/>
          <w:sz w:val="20"/>
          <w:szCs w:val="20"/>
        </w:rPr>
        <w:t xml:space="preserve">, které nabývá účinnosti dnem </w:t>
      </w:r>
      <w:proofErr w:type="gramStart"/>
      <w:r>
        <w:rPr>
          <w:rFonts w:ascii="Verdana" w:hAnsi="Verdana"/>
          <w:sz w:val="20"/>
          <w:szCs w:val="20"/>
        </w:rPr>
        <w:t>1.1.2018</w:t>
      </w:r>
      <w:proofErr w:type="gramEnd"/>
      <w:r>
        <w:rPr>
          <w:rFonts w:ascii="Verdana" w:hAnsi="Verdana"/>
          <w:sz w:val="20"/>
          <w:szCs w:val="20"/>
        </w:rPr>
        <w:t>.</w:t>
      </w:r>
    </w:p>
    <w:tbl>
      <w:tblPr>
        <w:tblW w:w="1100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729"/>
        <w:gridCol w:w="729"/>
        <w:gridCol w:w="1994"/>
        <w:gridCol w:w="1266"/>
        <w:gridCol w:w="94"/>
        <w:gridCol w:w="1266"/>
        <w:gridCol w:w="34"/>
        <w:gridCol w:w="1266"/>
        <w:gridCol w:w="94"/>
        <w:gridCol w:w="1266"/>
        <w:gridCol w:w="214"/>
        <w:gridCol w:w="1266"/>
      </w:tblGrid>
      <w:tr w:rsidR="008D0B0F" w:rsidRPr="005A7803" w:rsidTr="008B1661">
        <w:trPr>
          <w:trHeight w:val="288"/>
        </w:trPr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0F" w:rsidRPr="005A7803" w:rsidRDefault="008D0B0F" w:rsidP="008B1661">
            <w:pPr>
              <w:rPr>
                <w:rFonts w:ascii="Calibri" w:hAnsi="Calibri"/>
                <w:color w:val="000000"/>
              </w:rPr>
            </w:pPr>
            <w:r w:rsidRPr="005A7803">
              <w:rPr>
                <w:rFonts w:ascii="Calibri" w:hAnsi="Calibri"/>
                <w:color w:val="000000"/>
              </w:rPr>
              <w:t>Rozpočtová skladba: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0F" w:rsidRPr="005A7803" w:rsidRDefault="008D0B0F" w:rsidP="008B166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0F" w:rsidRPr="005A7803" w:rsidRDefault="008D0B0F" w:rsidP="008B166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0F" w:rsidRPr="005A7803" w:rsidRDefault="008D0B0F" w:rsidP="008B166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0F" w:rsidRPr="005A7803" w:rsidRDefault="008D0B0F" w:rsidP="008B166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0F" w:rsidRPr="005A7803" w:rsidRDefault="008D0B0F" w:rsidP="008B1661">
            <w:pPr>
              <w:rPr>
                <w:rFonts w:ascii="Calibri" w:hAnsi="Calibri"/>
                <w:color w:val="000000"/>
              </w:rPr>
            </w:pPr>
          </w:p>
        </w:tc>
      </w:tr>
      <w:tr w:rsidR="008D0B0F" w:rsidRPr="005A7803" w:rsidTr="008B1661">
        <w:trPr>
          <w:gridAfter w:val="1"/>
          <w:wAfter w:w="1266" w:type="dxa"/>
          <w:trHeight w:val="57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D0B0F" w:rsidRPr="005A7803" w:rsidRDefault="008D0B0F" w:rsidP="008B1661">
            <w:pPr>
              <w:rPr>
                <w:rFonts w:ascii="Calibri" w:hAnsi="Calibri"/>
                <w:color w:val="000000"/>
                <w:sz w:val="18"/>
              </w:rPr>
            </w:pPr>
            <w:r w:rsidRPr="005A7803">
              <w:rPr>
                <w:rFonts w:ascii="Calibri" w:hAnsi="Calibri"/>
                <w:color w:val="000000"/>
                <w:sz w:val="18"/>
              </w:rPr>
              <w:t xml:space="preserve">OdPa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D0B0F" w:rsidRPr="005A7803" w:rsidRDefault="008D0B0F" w:rsidP="008B1661">
            <w:pPr>
              <w:rPr>
                <w:rFonts w:ascii="Calibri" w:hAnsi="Calibri"/>
                <w:color w:val="000000"/>
                <w:sz w:val="18"/>
              </w:rPr>
            </w:pPr>
            <w:r w:rsidRPr="005A7803">
              <w:rPr>
                <w:rFonts w:ascii="Calibri" w:hAnsi="Calibri"/>
                <w:color w:val="000000"/>
                <w:sz w:val="18"/>
              </w:rPr>
              <w:t xml:space="preserve">SpPo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D0B0F" w:rsidRPr="005A7803" w:rsidRDefault="008D0B0F" w:rsidP="008B1661">
            <w:pPr>
              <w:rPr>
                <w:rFonts w:ascii="Calibri" w:hAnsi="Calibri"/>
                <w:color w:val="000000"/>
                <w:sz w:val="18"/>
              </w:rPr>
            </w:pPr>
            <w:r w:rsidRPr="005A7803">
              <w:rPr>
                <w:rFonts w:ascii="Calibri" w:hAnsi="Calibri"/>
                <w:color w:val="000000"/>
                <w:sz w:val="18"/>
              </w:rPr>
              <w:t>OrJ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0B0F" w:rsidRPr="005A7803" w:rsidRDefault="008D0B0F" w:rsidP="008B1661">
            <w:pPr>
              <w:rPr>
                <w:rFonts w:ascii="Calibri" w:hAnsi="Calibri"/>
                <w:color w:val="000000"/>
                <w:sz w:val="18"/>
              </w:rPr>
            </w:pPr>
            <w:r w:rsidRPr="005A7803">
              <w:rPr>
                <w:rFonts w:ascii="Calibri" w:hAnsi="Calibri"/>
                <w:color w:val="000000"/>
                <w:sz w:val="18"/>
              </w:rPr>
              <w:t xml:space="preserve">Text                         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0B0F" w:rsidRPr="005A7803" w:rsidRDefault="008D0B0F" w:rsidP="008B1661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5A7803">
              <w:rPr>
                <w:rFonts w:ascii="Calibri" w:hAnsi="Calibri"/>
                <w:color w:val="000000"/>
                <w:sz w:val="18"/>
              </w:rPr>
              <w:t>schválený rozpočet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0B0F" w:rsidRPr="005A7803" w:rsidRDefault="008D0B0F" w:rsidP="008B1661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5A7803">
              <w:rPr>
                <w:rFonts w:ascii="Calibri" w:hAnsi="Calibri"/>
                <w:color w:val="000000"/>
                <w:sz w:val="18"/>
              </w:rPr>
              <w:t>upravený rozpočet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0B0F" w:rsidRPr="005A7803" w:rsidRDefault="008D0B0F" w:rsidP="008B1661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5A7803">
              <w:rPr>
                <w:rFonts w:ascii="Calibri" w:hAnsi="Calibri"/>
                <w:color w:val="000000"/>
                <w:sz w:val="18"/>
              </w:rPr>
              <w:t>úprava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0B0F" w:rsidRPr="005A7803" w:rsidRDefault="008D0B0F" w:rsidP="008B1661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5A7803">
              <w:rPr>
                <w:rFonts w:ascii="Calibri" w:hAnsi="Calibri"/>
                <w:color w:val="000000"/>
                <w:sz w:val="18"/>
              </w:rPr>
              <w:t>UR po úpravě</w:t>
            </w:r>
          </w:p>
        </w:tc>
      </w:tr>
      <w:tr w:rsidR="008D0B0F" w:rsidRPr="005A7803" w:rsidTr="008B1661">
        <w:trPr>
          <w:gridAfter w:val="1"/>
          <w:wAfter w:w="1266" w:type="dxa"/>
          <w:trHeight w:val="288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0B0F" w:rsidRPr="005A7803" w:rsidRDefault="008D0B0F" w:rsidP="008B1661">
            <w:pPr>
              <w:jc w:val="right"/>
              <w:rPr>
                <w:rFonts w:ascii="Calibri" w:hAnsi="Calibri"/>
                <w:color w:val="000000"/>
                <w:sz w:val="18"/>
              </w:rPr>
            </w:pPr>
            <w:r w:rsidRPr="005A7803">
              <w:rPr>
                <w:rFonts w:ascii="Calibri" w:hAnsi="Calibri"/>
                <w:color w:val="000000"/>
                <w:sz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0B0F" w:rsidRPr="005A7803" w:rsidRDefault="008D0B0F" w:rsidP="008B1661">
            <w:pPr>
              <w:jc w:val="right"/>
              <w:rPr>
                <w:rFonts w:ascii="Calibri" w:hAnsi="Calibri"/>
                <w:color w:val="000000"/>
                <w:sz w:val="18"/>
              </w:rPr>
            </w:pPr>
            <w:r w:rsidRPr="005A7803">
              <w:rPr>
                <w:rFonts w:ascii="Calibri" w:hAnsi="Calibri"/>
                <w:color w:val="000000"/>
                <w:sz w:val="18"/>
              </w:rPr>
              <w:t>4132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0B0F" w:rsidRPr="005A7803" w:rsidRDefault="008D0B0F" w:rsidP="008B1661">
            <w:pPr>
              <w:jc w:val="right"/>
              <w:rPr>
                <w:rFonts w:ascii="Calibri" w:hAnsi="Calibri"/>
                <w:color w:val="000000"/>
                <w:sz w:val="18"/>
              </w:rPr>
            </w:pPr>
            <w:r w:rsidRPr="005A7803">
              <w:rPr>
                <w:rFonts w:ascii="Calibri" w:hAnsi="Calibri"/>
                <w:color w:val="000000"/>
                <w:sz w:val="18"/>
              </w:rPr>
              <w:t>2200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Pr="005A7803" w:rsidRDefault="008D0B0F" w:rsidP="008B1661">
            <w:pPr>
              <w:rPr>
                <w:rFonts w:ascii="Calibri" w:hAnsi="Calibri"/>
                <w:color w:val="000000"/>
                <w:sz w:val="18"/>
              </w:rPr>
            </w:pPr>
            <w:r w:rsidRPr="005A7803">
              <w:rPr>
                <w:rFonts w:ascii="Calibri" w:hAnsi="Calibri"/>
                <w:color w:val="000000"/>
                <w:sz w:val="18"/>
              </w:rPr>
              <w:t>Převod z depozitního účtu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0B0F" w:rsidRPr="005A7803" w:rsidRDefault="008D0B0F" w:rsidP="008B1661">
            <w:pPr>
              <w:jc w:val="right"/>
              <w:rPr>
                <w:rFonts w:ascii="Calibri" w:hAnsi="Calibri"/>
                <w:color w:val="000000"/>
                <w:sz w:val="18"/>
              </w:rPr>
            </w:pPr>
            <w:r w:rsidRPr="005A7803">
              <w:rPr>
                <w:rFonts w:ascii="Calibri" w:hAnsi="Calibri"/>
                <w:color w:val="000000"/>
                <w:sz w:val="18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Pr="005A7803" w:rsidRDefault="008D0B0F" w:rsidP="008B1661">
            <w:pPr>
              <w:jc w:val="right"/>
              <w:rPr>
                <w:rFonts w:ascii="Calibri" w:hAnsi="Calibri"/>
                <w:color w:val="000000"/>
                <w:sz w:val="18"/>
              </w:rPr>
            </w:pPr>
            <w:r w:rsidRPr="005A7803">
              <w:rPr>
                <w:rFonts w:ascii="Calibri" w:hAnsi="Calibri"/>
                <w:color w:val="000000"/>
                <w:sz w:val="18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B0F" w:rsidRPr="005A7803" w:rsidRDefault="008D0B0F" w:rsidP="008B1661">
            <w:pPr>
              <w:jc w:val="right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1 335 847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B0F" w:rsidRPr="005A7803" w:rsidRDefault="008D0B0F" w:rsidP="008B1661">
            <w:pPr>
              <w:jc w:val="right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1 335 847</w:t>
            </w:r>
          </w:p>
        </w:tc>
      </w:tr>
      <w:tr w:rsidR="008D0B0F" w:rsidRPr="005A7803" w:rsidTr="008B1661">
        <w:trPr>
          <w:gridAfter w:val="1"/>
          <w:wAfter w:w="1266" w:type="dxa"/>
          <w:trHeight w:val="576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B0F" w:rsidRPr="008D33C8" w:rsidRDefault="008D0B0F" w:rsidP="008B1661">
            <w:pPr>
              <w:rPr>
                <w:sz w:val="18"/>
              </w:rPr>
            </w:pPr>
            <w:r w:rsidRPr="008D33C8">
              <w:rPr>
                <w:sz w:val="18"/>
              </w:rPr>
              <w:t>6171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B0F" w:rsidRPr="008D33C8" w:rsidRDefault="008D0B0F" w:rsidP="008B1661">
            <w:pPr>
              <w:rPr>
                <w:sz w:val="18"/>
              </w:rPr>
            </w:pPr>
            <w:r w:rsidRPr="008D33C8">
              <w:rPr>
                <w:sz w:val="18"/>
              </w:rPr>
              <w:t>5011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B0F" w:rsidRPr="008D33C8" w:rsidRDefault="008D0B0F" w:rsidP="008B1661">
            <w:pPr>
              <w:rPr>
                <w:sz w:val="18"/>
              </w:rPr>
            </w:pPr>
            <w:r w:rsidRPr="008D33C8">
              <w:rPr>
                <w:sz w:val="18"/>
              </w:rPr>
              <w:t>2050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0F" w:rsidRPr="008D33C8" w:rsidRDefault="008D0B0F" w:rsidP="008B1661">
            <w:pPr>
              <w:rPr>
                <w:sz w:val="20"/>
              </w:rPr>
            </w:pPr>
            <w:r w:rsidRPr="008D33C8">
              <w:rPr>
                <w:sz w:val="20"/>
              </w:rPr>
              <w:t>Mzdy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B0F" w:rsidRPr="008D33C8" w:rsidRDefault="008D0B0F" w:rsidP="008B1661">
            <w:pPr>
              <w:jc w:val="right"/>
              <w:rPr>
                <w:sz w:val="20"/>
              </w:rPr>
            </w:pPr>
            <w:r w:rsidRPr="008D33C8">
              <w:rPr>
                <w:sz w:val="20"/>
              </w:rPr>
              <w:t xml:space="preserve">60 590 240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B0F" w:rsidRPr="008D33C8" w:rsidRDefault="008D0B0F" w:rsidP="008B1661">
            <w:pPr>
              <w:jc w:val="right"/>
              <w:rPr>
                <w:sz w:val="20"/>
              </w:rPr>
            </w:pPr>
            <w:r w:rsidRPr="008D33C8">
              <w:rPr>
                <w:sz w:val="20"/>
              </w:rPr>
              <w:t xml:space="preserve">60 590 240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B0F" w:rsidRPr="008D33C8" w:rsidRDefault="008D0B0F" w:rsidP="008B1661">
            <w:pPr>
              <w:jc w:val="right"/>
              <w:rPr>
                <w:sz w:val="20"/>
              </w:rPr>
            </w:pPr>
            <w:r w:rsidRPr="008D33C8">
              <w:rPr>
                <w:sz w:val="20"/>
              </w:rPr>
              <w:t>996 901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B0F" w:rsidRPr="008D33C8" w:rsidRDefault="008D0B0F" w:rsidP="008B1661">
            <w:pPr>
              <w:jc w:val="right"/>
              <w:rPr>
                <w:sz w:val="20"/>
              </w:rPr>
            </w:pPr>
            <w:r w:rsidRPr="008D33C8">
              <w:rPr>
                <w:sz w:val="20"/>
              </w:rPr>
              <w:t>61 587 141</w:t>
            </w:r>
          </w:p>
        </w:tc>
      </w:tr>
      <w:tr w:rsidR="008D0B0F" w:rsidRPr="005A7803" w:rsidTr="008B1661">
        <w:trPr>
          <w:gridAfter w:val="1"/>
          <w:wAfter w:w="1266" w:type="dxa"/>
          <w:trHeight w:val="288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B0F" w:rsidRPr="008D33C8" w:rsidRDefault="008D0B0F" w:rsidP="008B1661">
            <w:pPr>
              <w:rPr>
                <w:sz w:val="18"/>
              </w:rPr>
            </w:pPr>
            <w:r w:rsidRPr="008D33C8">
              <w:rPr>
                <w:sz w:val="18"/>
              </w:rPr>
              <w:t>6171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B0F" w:rsidRPr="008D33C8" w:rsidRDefault="008D0B0F" w:rsidP="008B1661">
            <w:pPr>
              <w:rPr>
                <w:sz w:val="18"/>
              </w:rPr>
            </w:pPr>
            <w:r w:rsidRPr="008D33C8">
              <w:rPr>
                <w:sz w:val="18"/>
              </w:rPr>
              <w:t>5031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B0F" w:rsidRPr="008D33C8" w:rsidRDefault="008D0B0F" w:rsidP="008B1661">
            <w:pPr>
              <w:rPr>
                <w:sz w:val="18"/>
              </w:rPr>
            </w:pPr>
            <w:r w:rsidRPr="008D33C8">
              <w:rPr>
                <w:sz w:val="18"/>
              </w:rPr>
              <w:t>2050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0F" w:rsidRPr="008D33C8" w:rsidRDefault="008D0B0F" w:rsidP="008B1661">
            <w:pPr>
              <w:rPr>
                <w:sz w:val="20"/>
              </w:rPr>
            </w:pPr>
            <w:r w:rsidRPr="008D33C8">
              <w:rPr>
                <w:sz w:val="20"/>
              </w:rPr>
              <w:t>Sociální pojistné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B0F" w:rsidRPr="008D33C8" w:rsidRDefault="008D0B0F" w:rsidP="008B1661">
            <w:pPr>
              <w:jc w:val="right"/>
              <w:rPr>
                <w:sz w:val="20"/>
              </w:rPr>
            </w:pPr>
            <w:r w:rsidRPr="008D33C8">
              <w:rPr>
                <w:sz w:val="20"/>
              </w:rPr>
              <w:t>14 626 000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B0F" w:rsidRPr="008D33C8" w:rsidRDefault="008D0B0F" w:rsidP="008B1661">
            <w:pPr>
              <w:jc w:val="right"/>
              <w:rPr>
                <w:sz w:val="20"/>
              </w:rPr>
            </w:pPr>
            <w:r w:rsidRPr="008D33C8">
              <w:rPr>
                <w:sz w:val="20"/>
              </w:rPr>
              <w:t>14 626 000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B0F" w:rsidRPr="008D33C8" w:rsidRDefault="008D0B0F" w:rsidP="008B1661">
            <w:pPr>
              <w:jc w:val="right"/>
              <w:rPr>
                <w:sz w:val="20"/>
              </w:rPr>
            </w:pPr>
            <w:r w:rsidRPr="008D33C8">
              <w:rPr>
                <w:sz w:val="20"/>
              </w:rPr>
              <w:t>249 225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B0F" w:rsidRPr="008D33C8" w:rsidRDefault="008D0B0F" w:rsidP="008B1661">
            <w:pPr>
              <w:jc w:val="right"/>
              <w:rPr>
                <w:sz w:val="20"/>
              </w:rPr>
            </w:pPr>
            <w:r w:rsidRPr="008D33C8">
              <w:rPr>
                <w:sz w:val="20"/>
              </w:rPr>
              <w:t>14 875 225</w:t>
            </w:r>
          </w:p>
        </w:tc>
      </w:tr>
      <w:tr w:rsidR="008D0B0F" w:rsidRPr="005A7803" w:rsidTr="008B1661">
        <w:trPr>
          <w:gridAfter w:val="1"/>
          <w:wAfter w:w="1266" w:type="dxa"/>
          <w:trHeight w:val="288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B0F" w:rsidRPr="008D33C8" w:rsidRDefault="008D0B0F" w:rsidP="008B1661">
            <w:pPr>
              <w:rPr>
                <w:sz w:val="18"/>
              </w:rPr>
            </w:pPr>
            <w:r w:rsidRPr="008D33C8">
              <w:rPr>
                <w:sz w:val="18"/>
              </w:rPr>
              <w:t>6171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B0F" w:rsidRPr="008D33C8" w:rsidRDefault="008D0B0F" w:rsidP="008B1661">
            <w:pPr>
              <w:rPr>
                <w:sz w:val="18"/>
              </w:rPr>
            </w:pPr>
            <w:r w:rsidRPr="008D33C8">
              <w:rPr>
                <w:sz w:val="18"/>
              </w:rPr>
              <w:t>5032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B0F" w:rsidRPr="008D33C8" w:rsidRDefault="008D0B0F" w:rsidP="008B1661">
            <w:pPr>
              <w:rPr>
                <w:sz w:val="18"/>
              </w:rPr>
            </w:pPr>
            <w:r w:rsidRPr="008D33C8">
              <w:rPr>
                <w:sz w:val="18"/>
              </w:rPr>
              <w:t>2050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0F" w:rsidRPr="008D33C8" w:rsidRDefault="008D0B0F" w:rsidP="008B1661">
            <w:pPr>
              <w:rPr>
                <w:sz w:val="20"/>
              </w:rPr>
            </w:pPr>
            <w:r w:rsidRPr="008D33C8">
              <w:rPr>
                <w:sz w:val="20"/>
              </w:rPr>
              <w:t>Zdravotní pojistné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B0F" w:rsidRPr="008D33C8" w:rsidRDefault="008D0B0F" w:rsidP="008B1661">
            <w:pPr>
              <w:jc w:val="right"/>
              <w:rPr>
                <w:sz w:val="20"/>
              </w:rPr>
            </w:pPr>
            <w:r w:rsidRPr="008D33C8">
              <w:rPr>
                <w:sz w:val="20"/>
              </w:rPr>
              <w:t>5 265 360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B0F" w:rsidRPr="008D33C8" w:rsidRDefault="008D0B0F" w:rsidP="008B1661">
            <w:pPr>
              <w:jc w:val="right"/>
              <w:rPr>
                <w:sz w:val="20"/>
              </w:rPr>
            </w:pPr>
            <w:r w:rsidRPr="008D33C8">
              <w:rPr>
                <w:sz w:val="20"/>
              </w:rPr>
              <w:t>5 265 360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B0F" w:rsidRPr="008D33C8" w:rsidRDefault="008D0B0F" w:rsidP="008B1661">
            <w:pPr>
              <w:jc w:val="right"/>
              <w:rPr>
                <w:sz w:val="20"/>
              </w:rPr>
            </w:pPr>
            <w:r w:rsidRPr="008D33C8">
              <w:rPr>
                <w:sz w:val="20"/>
              </w:rPr>
              <w:t>89 721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B0F" w:rsidRPr="008D33C8" w:rsidRDefault="008D0B0F" w:rsidP="008B1661">
            <w:pPr>
              <w:jc w:val="right"/>
              <w:rPr>
                <w:sz w:val="20"/>
              </w:rPr>
            </w:pPr>
            <w:r w:rsidRPr="008D33C8">
              <w:rPr>
                <w:sz w:val="20"/>
              </w:rPr>
              <w:t>5 355 081</w:t>
            </w:r>
          </w:p>
        </w:tc>
      </w:tr>
    </w:tbl>
    <w:p w:rsidR="008D0B0F" w:rsidRDefault="008D0B0F" w:rsidP="008D0B0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D0B0F" w:rsidRDefault="00595F45" w:rsidP="008D0B0F">
      <w:pPr>
        <w:rPr>
          <w:rFonts w:ascii="Verdana" w:hAnsi="Verdana"/>
          <w:sz w:val="20"/>
          <w:szCs w:val="20"/>
        </w:rPr>
      </w:pPr>
      <w:r w:rsidRPr="00595F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Usnesení č. 12/18 ke konečné úpravě rozpočtu 2017</w:t>
      </w:r>
      <w:r w:rsidRPr="00595F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Zastupitelstvo města b e r e n a v ě d o m í</w:t>
      </w:r>
      <w:r w:rsidRPr="00595F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konečnou úpravu rozpočtu Města Kutná Hora 2017.</w:t>
      </w:r>
      <w:r w:rsidRPr="00595F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8D0B0F" w:rsidRDefault="008D0B0F" w:rsidP="008D0B0F">
      <w:pPr>
        <w:shd w:val="clear" w:color="auto" w:fill="DDD9C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Změny na základě usnesení ZM č. 244/17</w:t>
      </w:r>
    </w:p>
    <w:p w:rsidR="008D0B0F" w:rsidRDefault="008D0B0F" w:rsidP="008D0B0F">
      <w:pPr>
        <w:jc w:val="both"/>
        <w:rPr>
          <w:rFonts w:ascii="Verdana" w:hAnsi="Verdana"/>
          <w:sz w:val="20"/>
          <w:szCs w:val="20"/>
        </w:rPr>
      </w:pPr>
      <w:r w:rsidRPr="00A435A4">
        <w:rPr>
          <w:rFonts w:ascii="Verdana" w:hAnsi="Verdana"/>
          <w:sz w:val="20"/>
          <w:szCs w:val="20"/>
        </w:rPr>
        <w:t>Předkládáme konečnou úpravou rozpočtu 201</w:t>
      </w:r>
      <w:r>
        <w:rPr>
          <w:rFonts w:ascii="Verdana" w:hAnsi="Verdana"/>
          <w:sz w:val="20"/>
          <w:szCs w:val="20"/>
        </w:rPr>
        <w:t>7</w:t>
      </w:r>
      <w:r w:rsidRPr="00A435A4">
        <w:rPr>
          <w:rFonts w:ascii="Verdana" w:hAnsi="Verdana"/>
          <w:sz w:val="20"/>
          <w:szCs w:val="20"/>
        </w:rPr>
        <w:t>, tak aby nedošlo při uzavření rozpočtu k porušení rozpočtové kázně. Jedná se též o úpravy finančních vztahů vůči jiným subjektům, SR, obcím, krajům a regionálním radám v důsledku vypořádání či vyúčtování dotací rozhodnutých, nebo doručených po termínech zasedání orgánů Města.</w:t>
      </w:r>
    </w:p>
    <w:tbl>
      <w:tblPr>
        <w:tblW w:w="8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340"/>
        <w:gridCol w:w="1520"/>
        <w:gridCol w:w="1140"/>
        <w:gridCol w:w="1520"/>
      </w:tblGrid>
      <w:tr w:rsidR="008D0B0F" w:rsidTr="008B1661">
        <w:trPr>
          <w:trHeight w:val="26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8D0B0F" w:rsidRDefault="008D0B0F" w:rsidP="008B166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Popis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8D0B0F" w:rsidRDefault="008D0B0F" w:rsidP="008B166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Schválený rozpočet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8D0B0F" w:rsidRDefault="008D0B0F" w:rsidP="008B166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Rozpočet po změnách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8D0B0F" w:rsidRDefault="008D0B0F" w:rsidP="008B166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Změna rozpočtu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8D0B0F" w:rsidRDefault="008D0B0F" w:rsidP="008B166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Rozpočet po změnách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DP FO závislá činnost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48 773 629,00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48 773 629,00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6 900 000,00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55 673 629,00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DP FO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záv.č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. 1,5%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5 090 000,00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5 090 000,00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680 000,00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5 770 000,00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DP FO samostatně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výděl.činnost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1 450 000,00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DP PO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49 300 000,00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49 300 000,00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56 300 000,00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DPH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105 250 000,00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105 250 000,00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8 900 000,00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114 150 000,00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Daň z hazardních her 65%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4 900 000,00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10 980 596,00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17 980 596,00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Daňové příjmy: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214 263 629,00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220 344 225,00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30 980 000,00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251 324 225,00</w:t>
            </w:r>
          </w:p>
        </w:tc>
      </w:tr>
      <w:tr w:rsidR="008D0B0F" w:rsidTr="008D0B0F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MLaR - příjem z podílu na zisku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382 500,00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382 500,00</w:t>
            </w:r>
          </w:p>
        </w:tc>
      </w:tr>
      <w:tr w:rsidR="008D0B0F" w:rsidTr="008D0B0F">
        <w:trPr>
          <w:trHeight w:val="26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 xml:space="preserve">Byty - nájem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11 000 000,00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11 000 000,00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13 400 000,00</w:t>
            </w:r>
          </w:p>
        </w:tc>
      </w:tr>
      <w:tr w:rsidR="008D0B0F" w:rsidTr="008D0B0F">
        <w:trPr>
          <w:trHeight w:val="26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Přijaté pojistné náhrady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29 304,00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103 283,00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132 587,00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EKO-KOM - příjem za tříděné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odp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460 000,00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2 460 000,00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Nedaňové příjmy: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13 000 000,00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13 029 304,00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3 345 783,00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16 375 087,00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Ostatní kapitálové příjmy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7 349 028,00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-7 322 927,00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26 101,00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Kapitálové příjmy: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7 349 028,00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-7 322 927,00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26 101,00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Transfery od obcí za přestupky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53 000,00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Reg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funkce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knihoven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1 884 023,00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-17 818,00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1 866 205,00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Dotace - HZS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5 072,00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5 072,00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MZe - lesní hospodáři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726 394,00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9 742,00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736 136,00</w:t>
            </w:r>
          </w:p>
        </w:tc>
      </w:tr>
      <w:tr w:rsidR="008D0B0F" w:rsidTr="008B1661">
        <w:trPr>
          <w:trHeight w:val="40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Obnova stepních společenstev Kaňk (dotace dorazí až následující rok)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846 787,77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-846 787,77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Přijaté dotace: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3 457 204,77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-796 791,77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2 660 413,00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PŘÍJMY CELKEM: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26 206 064,23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Byty - opravy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1 700 000,00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3 167 212,00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-50 700,00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3 116 512,00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Byty - služby, revize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473 208,00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373 208,00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Byty - vyúčtování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1 600 000,00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1 317 495,00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-23 000,00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1 294 495,00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Dačického dům -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el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energie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267 931,00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-6 989,00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260 942,00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Dačický dům - mzdy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96 413,00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6 989,00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103 402,00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DPS - DrHDM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25 050,00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-23 224,00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1 826,00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DPS - služby, revize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380 000,00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393 500,00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-120 000,00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273 500,00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Fin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zabezpečení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krizových opatření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80 852,00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-80 852,00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Fond regenerace - FO příspěvky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1 510 000,00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-416 000,00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1 094 000,00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Fond regenerace - přísp. církvi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1 290 000,00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-91 000,00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1 199 000,00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Fond regenerace - reklamní a 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do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314 612,00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-307 752,00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6 860,00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Hřbitov - ošetření stromů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68 123,00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-37 000,00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31 123,00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Kozlík - lesní hospodář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28 909,00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9 742,00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38 651,00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MP - ostatní výdaje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j.n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-53 711,00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16 289,00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Nespecifikované rezervy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429 000,00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331 627,70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-331 627,70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Obnonova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stepních spol. Kaňk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-91 638,00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91 638,00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Odpad: komunální - svoz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15 167 390,00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14 264 485,00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-459 176,00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13 805 309,00</w:t>
            </w:r>
          </w:p>
        </w:tc>
      </w:tr>
      <w:tr w:rsidR="008D0B0F" w:rsidTr="008D0B0F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Odpad: objemný - svoz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296 967,50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-64 430,00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232 537,50</w:t>
            </w:r>
          </w:p>
        </w:tc>
      </w:tr>
      <w:tr w:rsidR="008D0B0F" w:rsidTr="008D0B0F">
        <w:trPr>
          <w:trHeight w:val="26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 xml:space="preserve">Odpad: pronájem sb. nádob MVE  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229 905,50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-25 505,00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204 400,50</w:t>
            </w:r>
          </w:p>
        </w:tc>
      </w:tr>
      <w:tr w:rsidR="008D0B0F" w:rsidTr="008D0B0F">
        <w:trPr>
          <w:trHeight w:val="26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Odpad: úklid kontejnerového stá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1 011 000,00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1 011 000,00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-12 340,00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998 660,00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Okr.hosp.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>komora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příspěvek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Platba DPH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2 612 042,00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-1 547 889,00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1 064 153,00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PO - PHM - Malín - výjezdy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2 026,00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2 026,00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PO - 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Poličany -  oprava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brzd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976,00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976,00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 - technická kontrola Poličan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2 070,00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2 070,00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Poplatek za umístění psa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1 708 000,00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1 708 000,00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12 340,00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1 720 340,00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Převod na depozitní účet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1 335 847,00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1 335 847,00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Příspěvkový program - kultura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144 100,00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-144 100,00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Příspěvky, poplatky - rezerva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34 714,56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-34 714,56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Recycling - příspěvek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-15 951,00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4 049,00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Regionální funkce knihoven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1 884 023,00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-17 818,00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1 866 205,00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Rezerva OSVZ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197 624,00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-197 624,00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Riziková analýza Kaňk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503 032,50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581 111,00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1 084 143,50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SPOD - mzdy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4 505 647,23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145 875,77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4 651 523,00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Spol. dům - plyn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66 765,92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-1 368,00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65 397,92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Spol. dům-voda-udržitelnost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44 584,00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-11 858,00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32 726,00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Spolkový dům - mzdy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133 824,00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13 226,00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147 050,00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Sportoviště - materiál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-1 000,00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9 000,00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Sportoviště - opravy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507 657,00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531 657,00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Stadion Olympia - DrHDM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93 700,00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Tebis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-22 144,25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57 855,75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TEBIS - DHDM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24 749,68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24 749,68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Záchytná stanice pro 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psy-oprava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29 304,00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108 283,00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137 587,00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ZS - služby, revize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3 013 500,00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3 233 500,00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Běžné výdaje: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33 805 390,00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40 750 470,91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-1 635 200,06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39 115 270,85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Cyklostezka Vrchlice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118 000,00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9 475,00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127 475,00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DPS - rekonstrukce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818 530,00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23 224,00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841 754,00</w:t>
            </w:r>
          </w:p>
        </w:tc>
      </w:tr>
      <w:tr w:rsidR="008D0B0F" w:rsidTr="008D0B0F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Hřbitov Všech svatých - rekonstrukce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4 345 000,00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-1 452 803,55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2 892 196,45</w:t>
            </w:r>
          </w:p>
        </w:tc>
      </w:tr>
      <w:tr w:rsidR="008D0B0F" w:rsidTr="008D0B0F">
        <w:trPr>
          <w:trHeight w:val="26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Kaňk - chodník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2 650 000,00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-1 193 786,62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1 456 213,38</w:t>
            </w:r>
          </w:p>
        </w:tc>
      </w:tr>
      <w:tr w:rsidR="008D0B0F" w:rsidTr="001B2A05">
        <w:trPr>
          <w:trHeight w:val="26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Komunikace Mincovní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676 345,00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1 409,00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677 754,00</w:t>
            </w:r>
          </w:p>
        </w:tc>
      </w:tr>
      <w:tr w:rsidR="008D0B0F" w:rsidTr="001B2A05">
        <w:trPr>
          <w:trHeight w:val="26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 xml:space="preserve">Komunikace Na Náměti          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8 264 000,00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-114 101,88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8 149 898,12</w:t>
            </w:r>
          </w:p>
        </w:tc>
      </w:tr>
      <w:tr w:rsidR="008D0B0F" w:rsidTr="001B2A05">
        <w:trPr>
          <w:trHeight w:val="26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Masarykova ul. chodníky, přechody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819 117,00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112 692,88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931 809,88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MP - stroje, přístroje, zařízen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53 711,00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53 711,00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Obnova stepních spol. Kaňk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1 167 647,77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-664 969,77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502 678,00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PD - chodníky, komunikace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-2 500 000,00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PD - parkoviště BUS Sedlec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83 378,00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403 378,00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PD - parkoviště hl. nádraží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29 645,00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6 776,00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36 421,00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Sankturinovský dům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3 079 980,00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-3 079 980,00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Sportovní hala Klimeška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29 238 816,00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53 492 708,00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-8 622 437,34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44 870 270,66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Stadion Olympia - dětské hřiště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49 009,00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96 009,00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TEBIS - kamerový systém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171 851,00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22 144,25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193 995,25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TEBIS - připojení OC Ortenova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351 474,00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-24 749,68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326 724,32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Vlašský dvůr - rekonstrukce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15 500 000,00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-13 761 871,00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1 738 129,00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Výkupy pozemků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21 500 000,00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-20 975 000,00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525 000,00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Zdroje financování investičních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584 105,00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-584 105,00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Investiční výdaje: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29 738 816,00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116 437 411,77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-52 613 994,71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63 823 417,06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VÝDAJE CELKEM: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-54 249 194,77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SALDO PŘÍJMŮ A VÝDAJŮ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80 455 259,00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Sankturinovský dům - úvěr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3 079 980,00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-3 079 980,00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Sportovní hala Klimeška - úvěr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53 453 892,00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-27 869 931,00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25 583 961,00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Vlašský dvůr – rekonstrukce - úvěr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15 500 000,00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-15 500 000,00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Výkupy pozemků - úvěr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21 500 000,00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-21 500 000,00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Úvěry přijaté (čerpané):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93 533 872,00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-67 949 911,00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25 583 961,00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Změna stavu (z </w:t>
            </w:r>
            <w:proofErr w:type="spellStart"/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min.let</w:t>
            </w:r>
            <w:proofErr w:type="spellEnd"/>
            <w:proofErr w:type="gramEnd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27 114 990,00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39 154 602,00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-12 505 348,00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26 649 254,00</w:t>
            </w:r>
          </w:p>
        </w:tc>
      </w:tr>
      <w:tr w:rsidR="008D0B0F" w:rsidTr="008B1661">
        <w:trPr>
          <w:trHeight w:val="2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D0B0F" w:rsidRDefault="008D0B0F" w:rsidP="008B166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FINANCOVÁNÍ CELKEM: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-80 455 259,00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D0B0F" w:rsidRDefault="008D0B0F" w:rsidP="008B166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8D0B0F" w:rsidRDefault="008D0B0F" w:rsidP="008D0B0F">
      <w:pPr>
        <w:jc w:val="both"/>
        <w:rPr>
          <w:rFonts w:ascii="Verdana" w:hAnsi="Verdana"/>
          <w:sz w:val="20"/>
          <w:szCs w:val="20"/>
        </w:rPr>
      </w:pPr>
    </w:p>
    <w:p w:rsidR="00D03DBB" w:rsidRDefault="00D03DBB" w:rsidP="008D0B0F">
      <w:pPr>
        <w:jc w:val="both"/>
        <w:rPr>
          <w:rFonts w:ascii="Verdana" w:hAnsi="Verdana"/>
          <w:sz w:val="20"/>
          <w:szCs w:val="20"/>
        </w:rPr>
      </w:pPr>
    </w:p>
    <w:p w:rsidR="00595F45" w:rsidRPr="00595F45" w:rsidRDefault="00595F45" w:rsidP="008D0B0F">
      <w:pPr>
        <w:shd w:val="clear" w:color="auto" w:fill="DBE5F1" w:themeFill="accent1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5F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Usnesení č. 29/18 k rozpočtovému opatření OI č. 01</w:t>
      </w:r>
      <w:r w:rsidRPr="00595F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Zastupitelstvo města s o u h l a s í</w:t>
      </w:r>
      <w:r w:rsidRPr="00595F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předloženým rozpočtovým opatřením OI č. 01 - přesun rozpočtových prostředků z položky "Rozpočtová rezerva" na investiční položku "Chodníky - Masarykova ul. Kutná Hora" ve výši 36.300,- Kč dle důvodové zprávy.</w:t>
      </w:r>
      <w:r w:rsidRPr="00595F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Zodpovídá : Ing. </w:t>
      </w:r>
      <w:proofErr w:type="spellStart"/>
      <w:proofErr w:type="gramStart"/>
      <w:r w:rsidRPr="00595F45">
        <w:rPr>
          <w:rFonts w:ascii="Times New Roman" w:eastAsia="Times New Roman" w:hAnsi="Times New Roman" w:cs="Times New Roman"/>
          <w:sz w:val="24"/>
          <w:szCs w:val="24"/>
          <w:lang w:eastAsia="cs-CZ"/>
        </w:rPr>
        <w:t>R.Zahradníček</w:t>
      </w:r>
      <w:proofErr w:type="spellEnd"/>
      <w:proofErr w:type="gramEnd"/>
      <w:r w:rsidRPr="00595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    Termín : 28.02.18</w:t>
      </w:r>
      <w:r w:rsidRPr="00595F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D03DBB" w:rsidRPr="0026690B" w:rsidRDefault="00D03DBB" w:rsidP="00D03DBB">
      <w:pPr>
        <w:rPr>
          <w:rFonts w:ascii="Verdana" w:hAnsi="Verdana"/>
          <w:sz w:val="20"/>
          <w:szCs w:val="20"/>
        </w:rPr>
      </w:pPr>
      <w:r w:rsidRPr="0026690B">
        <w:rPr>
          <w:rFonts w:ascii="Verdana" w:hAnsi="Verdana"/>
          <w:sz w:val="20"/>
          <w:szCs w:val="20"/>
        </w:rPr>
        <w:lastRenderedPageBreak/>
        <w:t>Důvodová zpráva:</w:t>
      </w:r>
    </w:p>
    <w:p w:rsidR="00D03DBB" w:rsidRPr="00015B21" w:rsidRDefault="00D03DBB" w:rsidP="00D03DBB">
      <w:pPr>
        <w:rPr>
          <w:rFonts w:ascii="Verdana" w:hAnsi="Verdana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83820</wp:posOffset>
                </wp:positionV>
                <wp:extent cx="5924550" cy="0"/>
                <wp:effectExtent l="13335" t="7620" r="5715" b="1143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.6pt" to="466.0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"/>
            </w:pict>
          </mc:Fallback>
        </mc:AlternateContent>
      </w:r>
    </w:p>
    <w:p w:rsidR="00D03DBB" w:rsidRPr="00E961C7" w:rsidRDefault="00D03DBB" w:rsidP="00D03DBB">
      <w:pPr>
        <w:rPr>
          <w:rFonts w:ascii="Verdana" w:hAnsi="Verdana"/>
          <w:sz w:val="20"/>
          <w:szCs w:val="20"/>
        </w:rPr>
      </w:pPr>
      <w:r w:rsidRPr="00E961C7">
        <w:rPr>
          <w:rFonts w:ascii="Verdana" w:hAnsi="Verdana"/>
          <w:sz w:val="20"/>
          <w:szCs w:val="20"/>
        </w:rPr>
        <w:t>Na základě vyhlášení dotačního titulu SFDI bylo možné podat žádost o dotaci na „Rekonstrukci chodníků v Masarykově ulici v Kutné Hoře“. Tuto žádost zprac</w:t>
      </w:r>
      <w:r>
        <w:rPr>
          <w:rFonts w:ascii="Verdana" w:hAnsi="Verdana"/>
          <w:sz w:val="20"/>
          <w:szCs w:val="20"/>
        </w:rPr>
        <w:t>ovává</w:t>
      </w:r>
      <w:r w:rsidRPr="00E961C7">
        <w:rPr>
          <w:rFonts w:ascii="Verdana" w:hAnsi="Verdana"/>
          <w:sz w:val="20"/>
          <w:szCs w:val="20"/>
        </w:rPr>
        <w:t xml:space="preserve"> firma LK </w:t>
      </w:r>
      <w:proofErr w:type="spellStart"/>
      <w:r w:rsidRPr="00E961C7">
        <w:rPr>
          <w:rFonts w:ascii="Verdana" w:hAnsi="Verdana"/>
          <w:sz w:val="20"/>
          <w:szCs w:val="20"/>
        </w:rPr>
        <w:t>Advisory</w:t>
      </w:r>
      <w:proofErr w:type="spellEnd"/>
      <w:r w:rsidRPr="00E961C7">
        <w:rPr>
          <w:rFonts w:ascii="Verdana" w:hAnsi="Verdana"/>
          <w:sz w:val="20"/>
          <w:szCs w:val="20"/>
        </w:rPr>
        <w:t xml:space="preserve"> s.r.o. Praha </w:t>
      </w:r>
      <w:r>
        <w:rPr>
          <w:rFonts w:ascii="Verdana" w:hAnsi="Verdana"/>
          <w:sz w:val="20"/>
          <w:szCs w:val="20"/>
        </w:rPr>
        <w:t xml:space="preserve">na základě usnesení RM č. 1010/16 ze dne </w:t>
      </w:r>
      <w:proofErr w:type="gramStart"/>
      <w:r>
        <w:rPr>
          <w:rFonts w:ascii="Verdana" w:hAnsi="Verdana"/>
          <w:sz w:val="20"/>
          <w:szCs w:val="20"/>
        </w:rPr>
        <w:t>30.11.2016</w:t>
      </w:r>
      <w:proofErr w:type="gramEnd"/>
      <w:r>
        <w:rPr>
          <w:rFonts w:ascii="Verdana" w:hAnsi="Verdana"/>
          <w:sz w:val="20"/>
          <w:szCs w:val="20"/>
        </w:rPr>
        <w:t xml:space="preserve">. Projekt byl již v roce 2016 zadán ing. Kejvalovi. Zadáním bylo zpracovat dokumentaci pro podání žádosti o dotaci z výzvy IROP kde požadované nároky na zpracování dokumentace nebyly vysoké. Protože v této výzvě jsme neuspěli, chceme pro dotaci využít ještě </w:t>
      </w:r>
      <w:proofErr w:type="spellStart"/>
      <w:r>
        <w:rPr>
          <w:rFonts w:ascii="Verdana" w:hAnsi="Verdana"/>
          <w:sz w:val="20"/>
          <w:szCs w:val="20"/>
        </w:rPr>
        <w:t>SFDI.Tady</w:t>
      </w:r>
      <w:proofErr w:type="spellEnd"/>
      <w:r>
        <w:rPr>
          <w:rFonts w:ascii="Verdana" w:hAnsi="Verdana"/>
          <w:sz w:val="20"/>
          <w:szCs w:val="20"/>
        </w:rPr>
        <w:t xml:space="preserve"> však jsou nároky na zpracování a podrobnost dokumentace podstatně vyšší. Bylo nutné si pracně kvůli nedostatku volných termínů zajistit konzultaci na SFDI a podle připomínek projekt přepracovat.</w:t>
      </w:r>
    </w:p>
    <w:p w:rsidR="00D03DBB" w:rsidRPr="00601F64" w:rsidRDefault="00D03DBB" w:rsidP="00D03DBB">
      <w:pPr>
        <w:rPr>
          <w:rFonts w:ascii="Verdana" w:hAnsi="Verdana"/>
          <w:sz w:val="20"/>
          <w:szCs w:val="20"/>
        </w:rPr>
      </w:pPr>
      <w:r w:rsidRPr="00601F64">
        <w:rPr>
          <w:rFonts w:ascii="Verdana" w:hAnsi="Verdana" w:cs="Arial"/>
          <w:b/>
          <w:sz w:val="20"/>
          <w:szCs w:val="20"/>
        </w:rPr>
        <w:t xml:space="preserve">Rozpočtové opatření OI č. </w:t>
      </w:r>
      <w:r>
        <w:rPr>
          <w:rFonts w:ascii="Verdana" w:hAnsi="Verdana" w:cs="Arial"/>
          <w:b/>
          <w:sz w:val="20"/>
          <w:szCs w:val="20"/>
        </w:rPr>
        <w:t>01</w:t>
      </w:r>
      <w:r w:rsidRPr="00601F64">
        <w:rPr>
          <w:rFonts w:ascii="Verdana" w:hAnsi="Verdana" w:cs="Arial"/>
          <w:b/>
          <w:sz w:val="20"/>
          <w:szCs w:val="20"/>
        </w:rPr>
        <w:t xml:space="preserve"> – </w:t>
      </w:r>
      <w:r w:rsidRPr="00601F64">
        <w:rPr>
          <w:rFonts w:ascii="Verdana" w:hAnsi="Verdana" w:cs="Arial"/>
          <w:sz w:val="20"/>
          <w:szCs w:val="20"/>
        </w:rPr>
        <w:t xml:space="preserve">přesun rozpočtových prostředků (§16, odst. 3, písm. a) zákona č.250/2000 Sb.) </w:t>
      </w:r>
    </w:p>
    <w:p w:rsidR="00D03DBB" w:rsidRPr="00601F64" w:rsidRDefault="00D03DBB" w:rsidP="00D03DBB">
      <w:pPr>
        <w:rPr>
          <w:rFonts w:ascii="Verdana" w:hAnsi="Verdana"/>
          <w:b/>
          <w:sz w:val="20"/>
          <w:szCs w:val="20"/>
        </w:rPr>
      </w:pPr>
      <w:r w:rsidRPr="00601F64">
        <w:rPr>
          <w:rFonts w:ascii="Verdana" w:hAnsi="Verdana"/>
          <w:b/>
          <w:sz w:val="20"/>
          <w:szCs w:val="20"/>
        </w:rPr>
        <w:t xml:space="preserve">Částka:  </w:t>
      </w:r>
      <w:r>
        <w:rPr>
          <w:rFonts w:ascii="Verdana" w:hAnsi="Verdana"/>
          <w:b/>
          <w:sz w:val="20"/>
          <w:szCs w:val="20"/>
        </w:rPr>
        <w:t>36.300</w:t>
      </w:r>
      <w:r w:rsidRPr="005F4C40">
        <w:rPr>
          <w:rFonts w:ascii="Verdana" w:hAnsi="Verdana"/>
          <w:b/>
          <w:sz w:val="20"/>
          <w:szCs w:val="20"/>
        </w:rPr>
        <w:t>,- Kč</w:t>
      </w:r>
    </w:p>
    <w:p w:rsidR="00D03DBB" w:rsidRDefault="00D03DBB" w:rsidP="00D03DBB">
      <w:pPr>
        <w:rPr>
          <w:rFonts w:ascii="Verdana" w:hAnsi="Verdana"/>
          <w:sz w:val="20"/>
          <w:szCs w:val="20"/>
        </w:rPr>
      </w:pPr>
      <w:bookmarkStart w:id="0" w:name="_GoBack"/>
      <w:bookmarkEnd w:id="0"/>
      <w:r w:rsidRPr="00CC1B49">
        <w:rPr>
          <w:rFonts w:ascii="Verdana" w:hAnsi="Verdana"/>
          <w:sz w:val="20"/>
          <w:szCs w:val="20"/>
        </w:rPr>
        <w:t>Rozpočtová skladba:</w:t>
      </w:r>
    </w:p>
    <w:tbl>
      <w:tblPr>
        <w:tblW w:w="9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645"/>
        <w:gridCol w:w="567"/>
        <w:gridCol w:w="709"/>
        <w:gridCol w:w="2268"/>
        <w:gridCol w:w="1276"/>
        <w:gridCol w:w="1276"/>
        <w:gridCol w:w="992"/>
        <w:gridCol w:w="1417"/>
      </w:tblGrid>
      <w:tr w:rsidR="00D03DBB" w:rsidTr="008B1661">
        <w:trPr>
          <w:trHeight w:val="288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3DBB" w:rsidRPr="00ED3AE5" w:rsidRDefault="00D03DBB" w:rsidP="008B1661">
            <w:pPr>
              <w:jc w:val="center"/>
              <w:rPr>
                <w:rFonts w:ascii="Verdana" w:eastAsia="Calibri" w:hAnsi="Verdan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OdPa 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3DBB" w:rsidRPr="00ED3AE5" w:rsidRDefault="00D03DBB" w:rsidP="008B1661">
            <w:pPr>
              <w:jc w:val="center"/>
              <w:rPr>
                <w:rFonts w:ascii="Verdana" w:eastAsia="Calibri" w:hAnsi="Verdan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SpPo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3DBB" w:rsidRPr="00ED3AE5" w:rsidRDefault="00D03DBB" w:rsidP="008B1661">
            <w:pPr>
              <w:jc w:val="center"/>
              <w:rPr>
                <w:rFonts w:ascii="Verdana" w:eastAsia="Calibri" w:hAnsi="Verdan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OrJ 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3DBB" w:rsidRPr="00ED3AE5" w:rsidRDefault="00D03DBB" w:rsidP="008B1661">
            <w:pPr>
              <w:jc w:val="center"/>
              <w:rPr>
                <w:rFonts w:ascii="Verdana" w:eastAsia="Calibri" w:hAnsi="Verdan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OrgC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3DBB" w:rsidRPr="00ED3AE5" w:rsidRDefault="00D03DBB" w:rsidP="008B1661">
            <w:pPr>
              <w:jc w:val="center"/>
              <w:rPr>
                <w:rFonts w:ascii="Verdana" w:eastAsia="Calibri" w:hAnsi="Verdan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Text                         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3DBB" w:rsidRPr="00ED3AE5" w:rsidRDefault="00D03DBB" w:rsidP="008B1661">
            <w:pPr>
              <w:jc w:val="center"/>
              <w:rPr>
                <w:rFonts w:ascii="Verdana" w:eastAsia="Calibri" w:hAnsi="Verdan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SR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3DBB" w:rsidRPr="00ED3AE5" w:rsidRDefault="00D03DBB" w:rsidP="008B1661">
            <w:pPr>
              <w:jc w:val="center"/>
              <w:rPr>
                <w:rFonts w:ascii="Verdana" w:eastAsia="Calibri" w:hAnsi="Verdan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UR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3DBB" w:rsidRPr="00ED3AE5" w:rsidRDefault="00D03DBB" w:rsidP="008B1661">
            <w:pPr>
              <w:jc w:val="center"/>
              <w:rPr>
                <w:rFonts w:ascii="Verdana" w:eastAsia="Calibri" w:hAnsi="Verdan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úprava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3DBB" w:rsidRPr="00ED3AE5" w:rsidRDefault="00D03DBB" w:rsidP="008B1661">
            <w:pPr>
              <w:jc w:val="center"/>
              <w:rPr>
                <w:rFonts w:ascii="Verdana" w:eastAsia="Calibri" w:hAnsi="Verdan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UR po úpravě</w:t>
            </w:r>
          </w:p>
        </w:tc>
      </w:tr>
      <w:tr w:rsidR="00D03DBB" w:rsidTr="008B1661">
        <w:trPr>
          <w:trHeight w:val="28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3DBB" w:rsidRPr="00ED3AE5" w:rsidRDefault="00D03DBB" w:rsidP="008B1661">
            <w:pPr>
              <w:jc w:val="center"/>
              <w:rPr>
                <w:rFonts w:ascii="Verdana" w:eastAsia="Calibri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3DBB" w:rsidRPr="00ED3AE5" w:rsidRDefault="00D03DBB" w:rsidP="008B1661">
            <w:pPr>
              <w:jc w:val="center"/>
              <w:rPr>
                <w:rFonts w:ascii="Verdana" w:eastAsia="Calibri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3DBB" w:rsidRPr="00ED3AE5" w:rsidRDefault="00D03DBB" w:rsidP="008B1661">
            <w:pPr>
              <w:jc w:val="center"/>
              <w:rPr>
                <w:rFonts w:ascii="Verdana" w:eastAsia="Calibri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3DBB" w:rsidRPr="00ED3AE5" w:rsidRDefault="00D03DBB" w:rsidP="008B1661">
            <w:pPr>
              <w:jc w:val="center"/>
              <w:rPr>
                <w:rFonts w:ascii="Verdana" w:eastAsia="Calibri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3DBB" w:rsidRPr="00ED3AE5" w:rsidRDefault="00D03DBB" w:rsidP="008B1661">
            <w:pPr>
              <w:rPr>
                <w:rFonts w:ascii="Verdana" w:eastAsia="Calibri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Rozpočtová rezerva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3DBB" w:rsidRPr="00ED3AE5" w:rsidRDefault="00D03DBB" w:rsidP="008B1661">
            <w:pPr>
              <w:jc w:val="center"/>
              <w:rPr>
                <w:rFonts w:ascii="Verdana" w:eastAsia="Calibri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1 468 527,00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3DBB" w:rsidRPr="00ED3AE5" w:rsidRDefault="00D03DBB" w:rsidP="008B1661">
            <w:pPr>
              <w:jc w:val="center"/>
              <w:rPr>
                <w:rFonts w:ascii="Verdana" w:eastAsia="Calibri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6 975 154,89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3DBB" w:rsidRPr="00ED3AE5" w:rsidRDefault="00D03DBB" w:rsidP="008B1661">
            <w:pPr>
              <w:jc w:val="center"/>
              <w:rPr>
                <w:rFonts w:ascii="Verdana" w:eastAsia="Calibri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-36 300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3DBB" w:rsidRPr="00ED3AE5" w:rsidRDefault="00D03DBB" w:rsidP="008B1661">
            <w:pPr>
              <w:jc w:val="center"/>
              <w:rPr>
                <w:rFonts w:ascii="Verdana" w:eastAsia="Calibri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6 938 854,89</w:t>
            </w:r>
          </w:p>
        </w:tc>
      </w:tr>
      <w:tr w:rsidR="00D03DBB" w:rsidTr="008B1661">
        <w:trPr>
          <w:trHeight w:val="28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DBB" w:rsidRDefault="00D03DBB" w:rsidP="008B166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2219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DBB" w:rsidRDefault="00D03DBB" w:rsidP="008B166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DBB" w:rsidRDefault="00D03DBB" w:rsidP="008B166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DBB" w:rsidRDefault="00D03DBB" w:rsidP="008B166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DBB" w:rsidRDefault="00D03DBB" w:rsidP="008B166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Chodníky – Masarykova ul.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DBB" w:rsidRDefault="00D03DBB" w:rsidP="008B166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DBB" w:rsidRDefault="00D03DBB" w:rsidP="008B166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DBB" w:rsidRDefault="00D03DBB" w:rsidP="008B166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+36 300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DBB" w:rsidRDefault="00D03DBB" w:rsidP="008B166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36 300</w:t>
            </w:r>
          </w:p>
        </w:tc>
      </w:tr>
    </w:tbl>
    <w:p w:rsidR="00D03DBB" w:rsidRPr="00601F64" w:rsidRDefault="00D03DBB" w:rsidP="00D03DBB">
      <w:pPr>
        <w:rPr>
          <w:rFonts w:ascii="Verdana" w:hAnsi="Verdana"/>
          <w:sz w:val="20"/>
          <w:szCs w:val="20"/>
        </w:rPr>
      </w:pPr>
    </w:p>
    <w:p w:rsidR="00F81B35" w:rsidRDefault="00F81B35"/>
    <w:sectPr w:rsidR="00F81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44E86"/>
    <w:multiLevelType w:val="hybridMultilevel"/>
    <w:tmpl w:val="73DE6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6AFD"/>
    <w:multiLevelType w:val="hybridMultilevel"/>
    <w:tmpl w:val="6AFA5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B29C5"/>
    <w:multiLevelType w:val="hybridMultilevel"/>
    <w:tmpl w:val="28384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45"/>
    <w:rsid w:val="001B2A05"/>
    <w:rsid w:val="00306AAC"/>
    <w:rsid w:val="00595F45"/>
    <w:rsid w:val="008D0B0F"/>
    <w:rsid w:val="00D03DBB"/>
    <w:rsid w:val="00EC3958"/>
    <w:rsid w:val="00F8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595F4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595F4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9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5F45"/>
    <w:rPr>
      <w:b/>
      <w:bCs/>
    </w:rPr>
  </w:style>
  <w:style w:type="paragraph" w:styleId="FormtovanvHTML">
    <w:name w:val="HTML Preformatted"/>
    <w:basedOn w:val="Normln"/>
    <w:link w:val="FormtovanvHTMLChar"/>
    <w:rsid w:val="008D0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8D0B0F"/>
    <w:rPr>
      <w:rFonts w:ascii="Courier New" w:eastAsia="Courier New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8D0B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595F4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595F4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9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5F45"/>
    <w:rPr>
      <w:b/>
      <w:bCs/>
    </w:rPr>
  </w:style>
  <w:style w:type="paragraph" w:styleId="FormtovanvHTML">
    <w:name w:val="HTML Preformatted"/>
    <w:basedOn w:val="Normln"/>
    <w:link w:val="FormtovanvHTMLChar"/>
    <w:rsid w:val="008D0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8D0B0F"/>
    <w:rPr>
      <w:rFonts w:ascii="Courier New" w:eastAsia="Courier New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8D0B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1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4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5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4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2413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</dc:creator>
  <cp:lastModifiedBy>MěÚ Kutná Hora</cp:lastModifiedBy>
  <cp:revision>4</cp:revision>
  <dcterms:created xsi:type="dcterms:W3CDTF">2018-02-06T13:17:00Z</dcterms:created>
  <dcterms:modified xsi:type="dcterms:W3CDTF">2018-02-06T13:30:00Z</dcterms:modified>
</cp:coreProperties>
</file>