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80" w:rsidRPr="008221D2" w:rsidRDefault="00EA4052" w:rsidP="00445480">
      <w:pPr>
        <w:spacing w:line="276" w:lineRule="auto"/>
        <w:jc w:val="center"/>
        <w:rPr>
          <w:rFonts w:ascii="Verdana" w:hAnsi="Verdana"/>
          <w:b/>
        </w:rPr>
      </w:pPr>
      <w:r>
        <w:rPr>
          <w:rFonts w:ascii="Verdana" w:hAnsi="Verdana"/>
          <w:b/>
        </w:rPr>
        <w:t>Důvodové zprávy ZM 22</w:t>
      </w:r>
      <w:r w:rsidR="00445480" w:rsidRPr="008221D2">
        <w:rPr>
          <w:rFonts w:ascii="Verdana" w:hAnsi="Verdana"/>
          <w:b/>
        </w:rPr>
        <w:t xml:space="preserve">. </w:t>
      </w:r>
      <w:r>
        <w:rPr>
          <w:rFonts w:ascii="Verdana" w:hAnsi="Verdana"/>
          <w:b/>
        </w:rPr>
        <w:t>6</w:t>
      </w:r>
      <w:r w:rsidR="00445480">
        <w:rPr>
          <w:rFonts w:ascii="Verdana" w:hAnsi="Verdana"/>
          <w:b/>
        </w:rPr>
        <w:t>. 2021</w:t>
      </w:r>
    </w:p>
    <w:p w:rsidR="00445480" w:rsidRPr="006760FA" w:rsidRDefault="00445480" w:rsidP="00445480">
      <w:pPr>
        <w:spacing w:line="276" w:lineRule="auto"/>
        <w:jc w:val="both"/>
        <w:rPr>
          <w:rFonts w:ascii="Verdana" w:hAnsi="Verdana"/>
          <w:b/>
          <w:sz w:val="20"/>
          <w:szCs w:val="20"/>
          <w:u w:val="single"/>
        </w:rPr>
      </w:pPr>
    </w:p>
    <w:p w:rsidR="00084D1A" w:rsidRPr="00F34463" w:rsidRDefault="00084D1A" w:rsidP="00084D1A">
      <w:pPr>
        <w:spacing w:line="276" w:lineRule="auto"/>
        <w:rPr>
          <w:rFonts w:ascii="Verdana" w:hAnsi="Verdana"/>
          <w:b/>
          <w:sz w:val="20"/>
          <w:szCs w:val="20"/>
          <w:u w:val="single"/>
        </w:rPr>
      </w:pPr>
      <w:r w:rsidRPr="00F34463">
        <w:rPr>
          <w:rFonts w:ascii="Verdana" w:hAnsi="Verdana"/>
          <w:b/>
          <w:sz w:val="20"/>
          <w:szCs w:val="20"/>
          <w:u w:val="single"/>
        </w:rPr>
        <w:t>Ekonomický odbor</w:t>
      </w:r>
    </w:p>
    <w:p w:rsidR="00084D1A" w:rsidRPr="00F34463" w:rsidRDefault="00084D1A" w:rsidP="00084D1A">
      <w:pPr>
        <w:spacing w:line="276" w:lineRule="auto"/>
        <w:rPr>
          <w:rFonts w:ascii="Verdana" w:hAnsi="Verdana"/>
          <w:b/>
          <w:sz w:val="20"/>
          <w:szCs w:val="20"/>
        </w:rPr>
      </w:pPr>
      <w:r w:rsidRPr="00F34463">
        <w:rPr>
          <w:rFonts w:ascii="Verdana" w:hAnsi="Verdana"/>
          <w:b/>
          <w:sz w:val="20"/>
          <w:szCs w:val="20"/>
        </w:rPr>
        <w:t xml:space="preserve">2/01 </w:t>
      </w:r>
      <w:r w:rsidR="00EB31D5">
        <w:rPr>
          <w:rFonts w:ascii="Verdana" w:hAnsi="Verdana"/>
          <w:b/>
          <w:sz w:val="20"/>
          <w:szCs w:val="20"/>
        </w:rPr>
        <w:t>Zápis Finančního výboru ZM</w:t>
      </w:r>
    </w:p>
    <w:p w:rsidR="004730FB" w:rsidRDefault="004730FB" w:rsidP="004730FB">
      <w:pPr>
        <w:spacing w:before="120" w:after="120"/>
        <w:jc w:val="both"/>
        <w:rPr>
          <w:rFonts w:ascii="Verdana" w:hAnsi="Verdana"/>
          <w:bCs/>
          <w:sz w:val="20"/>
          <w:szCs w:val="20"/>
        </w:rPr>
      </w:pPr>
      <w:r w:rsidRPr="00C41F80">
        <w:rPr>
          <w:rFonts w:ascii="Verdana" w:hAnsi="Verdana"/>
          <w:bCs/>
          <w:sz w:val="20"/>
          <w:szCs w:val="20"/>
        </w:rPr>
        <w:t xml:space="preserve">Je zveřejněn zde </w:t>
      </w:r>
      <w:hyperlink r:id="rId7" w:history="1">
        <w:r w:rsidRPr="00C41F80">
          <w:rPr>
            <w:rStyle w:val="Hypertextovodkaz"/>
            <w:rFonts w:ascii="Verdana" w:hAnsi="Verdana"/>
            <w:bCs/>
            <w:sz w:val="20"/>
            <w:szCs w:val="20"/>
          </w:rPr>
          <w:t>https://mu.kutnahora.cz/mu/zapisy-financni-vybor</w:t>
        </w:r>
      </w:hyperlink>
      <w:r w:rsidRPr="00C41F80">
        <w:rPr>
          <w:rFonts w:ascii="Verdana" w:hAnsi="Verdana"/>
          <w:bCs/>
          <w:sz w:val="20"/>
          <w:szCs w:val="20"/>
        </w:rPr>
        <w:t xml:space="preserve"> </w:t>
      </w:r>
    </w:p>
    <w:p w:rsidR="004730FB" w:rsidRPr="004730FB" w:rsidRDefault="004730FB" w:rsidP="004730FB">
      <w:pPr>
        <w:spacing w:before="120" w:after="120"/>
        <w:jc w:val="both"/>
        <w:rPr>
          <w:rFonts w:ascii="Verdana" w:hAnsi="Verdana"/>
          <w:b/>
          <w:bCs/>
          <w:sz w:val="20"/>
          <w:szCs w:val="20"/>
        </w:rPr>
      </w:pPr>
      <w:r w:rsidRPr="004730FB">
        <w:rPr>
          <w:rFonts w:ascii="Verdana" w:hAnsi="Verdana"/>
          <w:b/>
          <w:bCs/>
          <w:sz w:val="20"/>
          <w:szCs w:val="20"/>
        </w:rPr>
        <w:t>2/02 Schvalování účetní závěrky Města Kutná Hora za rok 2020</w:t>
      </w:r>
    </w:p>
    <w:p w:rsidR="004730FB" w:rsidRPr="00C52C76" w:rsidRDefault="004730FB" w:rsidP="004730FB">
      <w:pPr>
        <w:jc w:val="both"/>
        <w:rPr>
          <w:rFonts w:ascii="Verdana" w:hAnsi="Verdana"/>
          <w:sz w:val="20"/>
          <w:szCs w:val="20"/>
        </w:rPr>
      </w:pPr>
      <w:r w:rsidRPr="00C52C76">
        <w:rPr>
          <w:rFonts w:ascii="Verdana" w:hAnsi="Verdana"/>
          <w:sz w:val="20"/>
          <w:szCs w:val="20"/>
        </w:rPr>
        <w:t>Obce, dobrovolné svazky obcí a příspěvkové organizace zřizované obcemi jsou vybranými účetními jednotkami, jejichž účetní závěrky sestavené k rozvahovému dni podléhají schvalování podle zákona č. 128/2000 Sb., o obcích ve znění pozdějších předpisů a vyhlášky č. 220/2013 Sb., ze dne 22.</w:t>
      </w:r>
      <w:r>
        <w:rPr>
          <w:rFonts w:ascii="Verdana" w:hAnsi="Verdana"/>
          <w:sz w:val="20"/>
          <w:szCs w:val="20"/>
        </w:rPr>
        <w:t xml:space="preserve"> </w:t>
      </w:r>
      <w:r w:rsidRPr="00C52C76">
        <w:rPr>
          <w:rFonts w:ascii="Verdana" w:hAnsi="Verdana"/>
          <w:sz w:val="20"/>
          <w:szCs w:val="20"/>
        </w:rPr>
        <w:t>7.</w:t>
      </w:r>
      <w:r>
        <w:rPr>
          <w:rFonts w:ascii="Verdana" w:hAnsi="Verdana"/>
          <w:sz w:val="20"/>
          <w:szCs w:val="20"/>
        </w:rPr>
        <w:t xml:space="preserve"> </w:t>
      </w:r>
      <w:r w:rsidRPr="00C52C76">
        <w:rPr>
          <w:rFonts w:ascii="Verdana" w:hAnsi="Verdana"/>
          <w:sz w:val="20"/>
          <w:szCs w:val="20"/>
        </w:rPr>
        <w:t>2013, o požadavcích na schvalování účetních závěrek některých vybraných účetních jednotek, ve znění pozdějších předpisů.</w:t>
      </w:r>
    </w:p>
    <w:p w:rsidR="004730FB" w:rsidRPr="00C52C76" w:rsidRDefault="004730FB" w:rsidP="004730FB">
      <w:pPr>
        <w:jc w:val="both"/>
        <w:rPr>
          <w:rFonts w:ascii="Verdana" w:hAnsi="Verdana"/>
          <w:sz w:val="20"/>
          <w:szCs w:val="20"/>
        </w:rPr>
      </w:pPr>
    </w:p>
    <w:p w:rsidR="004730FB" w:rsidRPr="00C52C76" w:rsidRDefault="004730FB" w:rsidP="004730FB">
      <w:pPr>
        <w:jc w:val="both"/>
        <w:rPr>
          <w:rFonts w:ascii="Verdana" w:hAnsi="Verdana"/>
          <w:sz w:val="20"/>
          <w:szCs w:val="20"/>
        </w:rPr>
      </w:pPr>
      <w:r w:rsidRPr="00C52C76">
        <w:rPr>
          <w:rFonts w:ascii="Verdana" w:hAnsi="Verdana"/>
          <w:sz w:val="20"/>
          <w:szCs w:val="20"/>
        </w:rPr>
        <w:t>Vzhledem k  platnému znění výše uvedeného zákona a vyhlášky, předkládáme zastupitelstvu města příslušné podklady pro schvalování účetní závěrky způsobem, který umožní zejména efektivní posouzení finanční situace města  a věrného a poctivého obrazu účetnictví: komentář k hospodaření města za minulý rok, Inventarizační zprávu za rok 20</w:t>
      </w:r>
      <w:r>
        <w:rPr>
          <w:rFonts w:ascii="Verdana" w:hAnsi="Verdana"/>
          <w:sz w:val="20"/>
          <w:szCs w:val="20"/>
        </w:rPr>
        <w:t>20</w:t>
      </w:r>
      <w:r w:rsidRPr="00C52C76">
        <w:rPr>
          <w:rFonts w:ascii="Verdana" w:hAnsi="Verdana"/>
          <w:sz w:val="20"/>
          <w:szCs w:val="20"/>
        </w:rPr>
        <w:t>, Zprávu o přezkoumání výsledku hospodaření za rok 20</w:t>
      </w:r>
      <w:r>
        <w:rPr>
          <w:rFonts w:ascii="Verdana" w:hAnsi="Verdana"/>
          <w:sz w:val="20"/>
          <w:szCs w:val="20"/>
        </w:rPr>
        <w:t>20</w:t>
      </w:r>
      <w:r w:rsidRPr="00C52C76">
        <w:rPr>
          <w:rFonts w:ascii="Verdana" w:hAnsi="Verdana"/>
          <w:sz w:val="20"/>
          <w:szCs w:val="20"/>
        </w:rPr>
        <w:t>, účetní a finanční výkazy Města s údaji k 31.</w:t>
      </w:r>
      <w:r>
        <w:rPr>
          <w:rFonts w:ascii="Verdana" w:hAnsi="Verdana"/>
          <w:sz w:val="20"/>
          <w:szCs w:val="20"/>
        </w:rPr>
        <w:t xml:space="preserve"> </w:t>
      </w:r>
      <w:r w:rsidRPr="00C52C76">
        <w:rPr>
          <w:rFonts w:ascii="Verdana" w:hAnsi="Verdana"/>
          <w:sz w:val="20"/>
          <w:szCs w:val="20"/>
        </w:rPr>
        <w:t>12.</w:t>
      </w:r>
      <w:r>
        <w:rPr>
          <w:rFonts w:ascii="Verdana" w:hAnsi="Verdana"/>
          <w:sz w:val="20"/>
          <w:szCs w:val="20"/>
        </w:rPr>
        <w:t xml:space="preserve"> </w:t>
      </w:r>
      <w:r w:rsidRPr="00C52C76">
        <w:rPr>
          <w:rFonts w:ascii="Verdana" w:hAnsi="Verdana"/>
          <w:sz w:val="20"/>
          <w:szCs w:val="20"/>
        </w:rPr>
        <w:t>20</w:t>
      </w:r>
      <w:r>
        <w:rPr>
          <w:rFonts w:ascii="Verdana" w:hAnsi="Verdana"/>
          <w:sz w:val="20"/>
          <w:szCs w:val="20"/>
        </w:rPr>
        <w:t>20</w:t>
      </w:r>
      <w:r w:rsidRPr="00C52C76">
        <w:rPr>
          <w:rFonts w:ascii="Verdana" w:hAnsi="Verdana"/>
          <w:sz w:val="20"/>
          <w:szCs w:val="20"/>
        </w:rPr>
        <w:t xml:space="preserve"> (Rozvaha, Výkaz zisku a ztráty, Příloha k účetní závěrce, Přehled o peněžních tocích, Přehled o změnách vlastního kapitálu a  Výkaz pro hodnocení plnění rozpočtu),  viz Přílohy.</w:t>
      </w:r>
    </w:p>
    <w:p w:rsidR="004730FB" w:rsidRPr="00C52C76" w:rsidRDefault="004730FB" w:rsidP="004730FB">
      <w:pPr>
        <w:jc w:val="both"/>
        <w:rPr>
          <w:rFonts w:ascii="Verdana" w:hAnsi="Verdana"/>
          <w:sz w:val="20"/>
          <w:szCs w:val="20"/>
        </w:rPr>
      </w:pPr>
    </w:p>
    <w:p w:rsidR="004730FB" w:rsidRPr="00167669" w:rsidRDefault="004730FB" w:rsidP="004730FB">
      <w:pPr>
        <w:jc w:val="both"/>
        <w:rPr>
          <w:rFonts w:ascii="Verdana" w:hAnsi="Verdana"/>
          <w:sz w:val="20"/>
          <w:szCs w:val="20"/>
        </w:rPr>
      </w:pPr>
      <w:r w:rsidRPr="00167669">
        <w:rPr>
          <w:rFonts w:ascii="Verdana" w:hAnsi="Verdana"/>
          <w:sz w:val="20"/>
          <w:szCs w:val="20"/>
        </w:rPr>
        <w:t>Zpráva o výsledku přezkoumání hospodaření za období od 1.</w:t>
      </w:r>
      <w:r>
        <w:rPr>
          <w:rFonts w:ascii="Verdana" w:hAnsi="Verdana"/>
          <w:sz w:val="20"/>
          <w:szCs w:val="20"/>
        </w:rPr>
        <w:t xml:space="preserve"> </w:t>
      </w:r>
      <w:r w:rsidRPr="00167669">
        <w:rPr>
          <w:rFonts w:ascii="Verdana" w:hAnsi="Verdana"/>
          <w:sz w:val="20"/>
          <w:szCs w:val="20"/>
        </w:rPr>
        <w:t>1.</w:t>
      </w:r>
      <w:r>
        <w:rPr>
          <w:rFonts w:ascii="Verdana" w:hAnsi="Verdana"/>
          <w:sz w:val="20"/>
          <w:szCs w:val="20"/>
        </w:rPr>
        <w:t xml:space="preserve"> </w:t>
      </w:r>
      <w:r w:rsidRPr="00167669">
        <w:rPr>
          <w:rFonts w:ascii="Verdana" w:hAnsi="Verdana"/>
          <w:sz w:val="20"/>
          <w:szCs w:val="20"/>
        </w:rPr>
        <w:t>20</w:t>
      </w:r>
      <w:r>
        <w:rPr>
          <w:rFonts w:ascii="Verdana" w:hAnsi="Verdana"/>
          <w:sz w:val="20"/>
          <w:szCs w:val="20"/>
        </w:rPr>
        <w:t>20</w:t>
      </w:r>
      <w:r w:rsidRPr="00167669">
        <w:rPr>
          <w:rFonts w:ascii="Verdana" w:hAnsi="Verdana"/>
          <w:sz w:val="20"/>
          <w:szCs w:val="20"/>
        </w:rPr>
        <w:t xml:space="preserve"> do 31.</w:t>
      </w:r>
      <w:r>
        <w:rPr>
          <w:rFonts w:ascii="Verdana" w:hAnsi="Verdana"/>
          <w:sz w:val="20"/>
          <w:szCs w:val="20"/>
        </w:rPr>
        <w:t xml:space="preserve"> </w:t>
      </w:r>
      <w:r w:rsidRPr="00167669">
        <w:rPr>
          <w:rFonts w:ascii="Verdana" w:hAnsi="Verdana"/>
          <w:sz w:val="20"/>
          <w:szCs w:val="20"/>
        </w:rPr>
        <w:t>12.</w:t>
      </w:r>
      <w:r>
        <w:rPr>
          <w:rFonts w:ascii="Verdana" w:hAnsi="Verdana"/>
          <w:sz w:val="20"/>
          <w:szCs w:val="20"/>
        </w:rPr>
        <w:t xml:space="preserve"> </w:t>
      </w:r>
      <w:r w:rsidRPr="00167669">
        <w:rPr>
          <w:rFonts w:ascii="Verdana" w:hAnsi="Verdana"/>
          <w:sz w:val="20"/>
          <w:szCs w:val="20"/>
        </w:rPr>
        <w:t>20</w:t>
      </w:r>
      <w:r>
        <w:rPr>
          <w:rFonts w:ascii="Verdana" w:hAnsi="Verdana"/>
          <w:sz w:val="20"/>
          <w:szCs w:val="20"/>
        </w:rPr>
        <w:t>20</w:t>
      </w:r>
      <w:r w:rsidRPr="00167669">
        <w:rPr>
          <w:rFonts w:ascii="Verdana" w:hAnsi="Verdana"/>
          <w:sz w:val="20"/>
          <w:szCs w:val="20"/>
        </w:rPr>
        <w:t xml:space="preserve"> konstatuje, že nebyly zjištěny chyby a nedostatky. </w:t>
      </w:r>
    </w:p>
    <w:p w:rsidR="004730FB" w:rsidRDefault="004730FB" w:rsidP="004730FB">
      <w:pPr>
        <w:jc w:val="both"/>
        <w:rPr>
          <w:rFonts w:ascii="Verdana" w:hAnsi="Verdana"/>
          <w:sz w:val="20"/>
          <w:szCs w:val="20"/>
        </w:rPr>
      </w:pPr>
    </w:p>
    <w:p w:rsidR="004730FB" w:rsidRPr="00C52C76" w:rsidRDefault="004730FB" w:rsidP="004730FB">
      <w:pPr>
        <w:jc w:val="both"/>
        <w:rPr>
          <w:rFonts w:ascii="Verdana" w:hAnsi="Verdana"/>
          <w:sz w:val="20"/>
          <w:szCs w:val="20"/>
        </w:rPr>
      </w:pPr>
      <w:r w:rsidRPr="00C52C76">
        <w:rPr>
          <w:rFonts w:ascii="Verdana" w:hAnsi="Verdana"/>
          <w:sz w:val="20"/>
          <w:szCs w:val="20"/>
        </w:rPr>
        <w:t xml:space="preserve">Dle vyhlášky č. 220/2013 Sb., §11 a § 12, se o úkonu schválení nebo neschválení účetní závěrky sepisuje Protokol. Jeho nedílnou součástí je písemný záznam o hlasování schvalujícího orgánu. Každý člen má právo své hlasování písemně odůvodnit. Toto písemné odůvodnění se stává součástí </w:t>
      </w:r>
      <w:r w:rsidRPr="00F968C5">
        <w:rPr>
          <w:rFonts w:ascii="Verdana" w:hAnsi="Verdana"/>
          <w:b/>
          <w:sz w:val="20"/>
          <w:szCs w:val="20"/>
        </w:rPr>
        <w:t>Protokolu o schvalování účetní závěrky</w:t>
      </w:r>
      <w:r w:rsidRPr="00C52C76">
        <w:rPr>
          <w:rFonts w:ascii="Verdana" w:hAnsi="Verdana"/>
          <w:sz w:val="20"/>
          <w:szCs w:val="20"/>
        </w:rPr>
        <w:t xml:space="preserve">. Protokol je předáván spolu s účetními výkazy do Centrálního systému účetních informací státu.    </w:t>
      </w:r>
    </w:p>
    <w:p w:rsidR="004730FB" w:rsidRPr="00C52C76" w:rsidRDefault="004730FB" w:rsidP="004730FB">
      <w:pPr>
        <w:jc w:val="both"/>
        <w:rPr>
          <w:rFonts w:ascii="Verdana" w:hAnsi="Verdana"/>
          <w:b/>
          <w:sz w:val="20"/>
          <w:szCs w:val="20"/>
        </w:rPr>
      </w:pPr>
    </w:p>
    <w:p w:rsidR="004730FB" w:rsidRPr="004A10A5" w:rsidRDefault="004730FB" w:rsidP="004730FB">
      <w:pPr>
        <w:jc w:val="both"/>
        <w:rPr>
          <w:rFonts w:ascii="Verdana" w:hAnsi="Verdana"/>
          <w:b/>
          <w:color w:val="FF0000"/>
          <w:sz w:val="20"/>
          <w:szCs w:val="20"/>
        </w:rPr>
      </w:pPr>
      <w:r>
        <w:rPr>
          <w:rFonts w:ascii="Verdana" w:hAnsi="Verdana"/>
          <w:b/>
          <w:sz w:val="20"/>
          <w:szCs w:val="20"/>
        </w:rPr>
        <w:t xml:space="preserve">Účetní závěrku města za rok 2020 doporučila ke schválení zastupitelstvu města rada města dne 2. 6. 2021 </w:t>
      </w:r>
      <w:r w:rsidRPr="008F6071">
        <w:rPr>
          <w:rFonts w:ascii="Verdana" w:hAnsi="Verdana"/>
          <w:b/>
          <w:sz w:val="20"/>
          <w:szCs w:val="20"/>
        </w:rPr>
        <w:t>usnesen</w:t>
      </w:r>
      <w:r w:rsidRPr="005A1D6C">
        <w:rPr>
          <w:rFonts w:ascii="Verdana" w:hAnsi="Verdana"/>
          <w:b/>
          <w:sz w:val="20"/>
          <w:szCs w:val="20"/>
        </w:rPr>
        <w:t>ím č. 392/21</w:t>
      </w:r>
    </w:p>
    <w:p w:rsidR="004730FB" w:rsidRDefault="004730FB" w:rsidP="004730FB">
      <w:pPr>
        <w:rPr>
          <w:rStyle w:val="Hypertextovodkaz"/>
          <w:rFonts w:ascii="Verdana" w:hAnsi="Verdana"/>
          <w:sz w:val="20"/>
          <w:szCs w:val="20"/>
        </w:rPr>
      </w:pPr>
    </w:p>
    <w:p w:rsidR="004730FB" w:rsidRDefault="004730FB" w:rsidP="004730FB">
      <w:pPr>
        <w:rPr>
          <w:rStyle w:val="Hypertextovodkaz"/>
          <w:rFonts w:ascii="Verdana" w:hAnsi="Verdana"/>
          <w:sz w:val="20"/>
          <w:szCs w:val="20"/>
        </w:rPr>
      </w:pPr>
    </w:p>
    <w:p w:rsidR="004730FB" w:rsidRPr="004730FB" w:rsidRDefault="004730FB" w:rsidP="004730FB">
      <w:pPr>
        <w:rPr>
          <w:rFonts w:ascii="Verdana" w:hAnsi="Verdana"/>
          <w:b/>
          <w:sz w:val="20"/>
          <w:szCs w:val="20"/>
        </w:rPr>
      </w:pPr>
      <w:r w:rsidRPr="004730FB">
        <w:rPr>
          <w:rFonts w:ascii="Verdana" w:hAnsi="Verdana"/>
          <w:b/>
          <w:sz w:val="20"/>
          <w:szCs w:val="20"/>
        </w:rPr>
        <w:t xml:space="preserve">2/03 </w:t>
      </w:r>
      <w:r w:rsidRPr="004730FB">
        <w:rPr>
          <w:rFonts w:ascii="Verdana" w:hAnsi="Verdana"/>
          <w:b/>
          <w:bCs/>
          <w:sz w:val="20"/>
          <w:szCs w:val="20"/>
        </w:rPr>
        <w:t>Závěrečný účet Města Kutná Hora za rok 2020</w:t>
      </w:r>
    </w:p>
    <w:p w:rsidR="004730FB" w:rsidRDefault="004730FB" w:rsidP="004730FB">
      <w:pPr>
        <w:spacing w:before="120" w:after="120"/>
        <w:jc w:val="both"/>
        <w:rPr>
          <w:rFonts w:ascii="Verdana" w:hAnsi="Verdana"/>
          <w:sz w:val="20"/>
          <w:szCs w:val="20"/>
        </w:rPr>
      </w:pPr>
      <w:r>
        <w:rPr>
          <w:rFonts w:ascii="Verdana" w:hAnsi="Verdana"/>
          <w:sz w:val="20"/>
          <w:szCs w:val="20"/>
        </w:rPr>
        <w:t>E</w:t>
      </w:r>
      <w:r w:rsidRPr="003705D9">
        <w:rPr>
          <w:rFonts w:ascii="Verdana" w:hAnsi="Verdana"/>
          <w:sz w:val="20"/>
          <w:szCs w:val="20"/>
        </w:rPr>
        <w:t>konomický odbor zpracoval závěrečný účet města podle § 17 zákona č. 250/2000 Sb., o rozpočtových pravidlech územních rozpočtů. Součástí závěrečného účtu je zpráva o výsledku přezkoumání hospodaření Města Kutná Hora za</w:t>
      </w:r>
      <w:r>
        <w:rPr>
          <w:rFonts w:ascii="Verdana" w:hAnsi="Verdana"/>
          <w:sz w:val="20"/>
          <w:szCs w:val="20"/>
        </w:rPr>
        <w:t xml:space="preserve"> rok</w:t>
      </w:r>
      <w:r w:rsidRPr="003705D9">
        <w:rPr>
          <w:rFonts w:ascii="Verdana" w:hAnsi="Verdana"/>
          <w:sz w:val="20"/>
          <w:szCs w:val="20"/>
        </w:rPr>
        <w:t xml:space="preserve"> 20</w:t>
      </w:r>
      <w:r>
        <w:rPr>
          <w:rFonts w:ascii="Verdana" w:hAnsi="Verdana"/>
          <w:sz w:val="20"/>
          <w:szCs w:val="20"/>
        </w:rPr>
        <w:t xml:space="preserve">20. </w:t>
      </w:r>
      <w:r w:rsidRPr="003705D9">
        <w:rPr>
          <w:rFonts w:ascii="Verdana" w:hAnsi="Verdana"/>
          <w:sz w:val="20"/>
          <w:szCs w:val="20"/>
        </w:rPr>
        <w:t>Samostatnou část závěrečného účtu tvoří přehled výsledků hospodaření společností města</w:t>
      </w:r>
      <w:r>
        <w:rPr>
          <w:rFonts w:ascii="Verdana" w:hAnsi="Verdana"/>
          <w:sz w:val="20"/>
          <w:szCs w:val="20"/>
        </w:rPr>
        <w:t>.</w:t>
      </w:r>
    </w:p>
    <w:p w:rsidR="004730FB" w:rsidRDefault="004730FB" w:rsidP="004730FB">
      <w:pPr>
        <w:spacing w:before="120" w:after="120"/>
        <w:jc w:val="both"/>
        <w:rPr>
          <w:rFonts w:ascii="Verdana" w:hAnsi="Verdana"/>
          <w:sz w:val="20"/>
          <w:szCs w:val="20"/>
        </w:rPr>
      </w:pPr>
      <w:r>
        <w:rPr>
          <w:rFonts w:ascii="Verdana" w:hAnsi="Verdana"/>
          <w:sz w:val="20"/>
          <w:szCs w:val="20"/>
        </w:rPr>
        <w:t>Rada města svým usnesením č. 393/21 doporučila Zastupitelstvu města materiál ke schválení.</w:t>
      </w:r>
    </w:p>
    <w:p w:rsidR="00D203BD" w:rsidRDefault="00D203BD" w:rsidP="004730FB">
      <w:pPr>
        <w:spacing w:before="120" w:after="120"/>
        <w:rPr>
          <w:rFonts w:ascii="Verdana" w:hAnsi="Verdana"/>
          <w:b/>
          <w:sz w:val="18"/>
          <w:szCs w:val="20"/>
        </w:rPr>
      </w:pPr>
    </w:p>
    <w:p w:rsidR="004730FB" w:rsidRDefault="004730FB" w:rsidP="004730FB">
      <w:pPr>
        <w:spacing w:before="120" w:after="120"/>
        <w:rPr>
          <w:rFonts w:ascii="Verdana" w:hAnsi="Verdana"/>
          <w:sz w:val="20"/>
          <w:szCs w:val="20"/>
        </w:rPr>
      </w:pPr>
      <w:r w:rsidRPr="004730FB">
        <w:rPr>
          <w:rFonts w:ascii="Verdana" w:hAnsi="Verdana"/>
          <w:b/>
          <w:sz w:val="18"/>
          <w:szCs w:val="20"/>
        </w:rPr>
        <w:t>2/04</w:t>
      </w:r>
      <w:r w:rsidRPr="004730FB">
        <w:rPr>
          <w:rFonts w:ascii="Verdana" w:hAnsi="Verdana"/>
          <w:b/>
          <w:sz w:val="20"/>
          <w:szCs w:val="20"/>
        </w:rPr>
        <w:t xml:space="preserve">  OZV č. 1/2021 o místním poplatku za obecní systém odpadového hospodářství</w:t>
      </w:r>
    </w:p>
    <w:p w:rsidR="004730FB" w:rsidRDefault="004730FB" w:rsidP="004730FB">
      <w:pPr>
        <w:jc w:val="both"/>
      </w:pPr>
      <w:r>
        <w:rPr>
          <w:rFonts w:ascii="Verdana" w:hAnsi="Verdana"/>
          <w:sz w:val="20"/>
          <w:szCs w:val="20"/>
        </w:rPr>
        <w:t>Předkládáme návrh obecně závazné vyhlášky</w:t>
      </w:r>
      <w:r w:rsidRPr="001F47AB">
        <w:rPr>
          <w:rFonts w:ascii="Verdana" w:hAnsi="Verdana"/>
          <w:sz w:val="20"/>
          <w:szCs w:val="20"/>
        </w:rPr>
        <w:t xml:space="preserve"> č. </w:t>
      </w:r>
      <w:r>
        <w:rPr>
          <w:rFonts w:ascii="Verdana" w:hAnsi="Verdana"/>
          <w:sz w:val="20"/>
          <w:szCs w:val="20"/>
        </w:rPr>
        <w:t>1</w:t>
      </w:r>
      <w:r w:rsidRPr="001F47AB">
        <w:rPr>
          <w:rFonts w:ascii="Verdana" w:hAnsi="Verdana"/>
          <w:sz w:val="20"/>
          <w:szCs w:val="20"/>
        </w:rPr>
        <w:t xml:space="preserve">/2021, </w:t>
      </w:r>
      <w:r w:rsidRPr="00F917A0">
        <w:rPr>
          <w:rFonts w:ascii="Verdana" w:hAnsi="Verdana"/>
          <w:sz w:val="20"/>
          <w:szCs w:val="20"/>
        </w:rPr>
        <w:t>o místním poplatku za obecní systém odpadového hospodářství</w:t>
      </w:r>
      <w:r>
        <w:rPr>
          <w:rFonts w:ascii="Verdana" w:hAnsi="Verdana"/>
          <w:sz w:val="20"/>
          <w:szCs w:val="20"/>
        </w:rPr>
        <w:t xml:space="preserve">. </w:t>
      </w:r>
      <w:r>
        <w:t xml:space="preserve">Navržená změna odráží </w:t>
      </w:r>
      <w:r>
        <w:rPr>
          <w:u w:val="single"/>
        </w:rPr>
        <w:t>variantu</w:t>
      </w:r>
      <w:r>
        <w:t xml:space="preserve"> místního poplatku za obecní systém odpadového hospodářství. </w:t>
      </w:r>
    </w:p>
    <w:p w:rsidR="004730FB" w:rsidRDefault="004730FB" w:rsidP="004730FB">
      <w:pPr>
        <w:jc w:val="both"/>
      </w:pPr>
      <w:r>
        <w:t>Druhá možnost zpoplatnění dle zákona je varianta vybírání místního poplatku za odkládání komunálního odpadu dle „hmotnosti, objemu nebo kapacity nádoby“ ale na to ještě není Město dle sdělení OI-TO připraveno. U tohoto poplatku dochází k ročnímu posunu příjmů. (platba od poplatníka bude až v následujícím roce)</w:t>
      </w:r>
    </w:p>
    <w:p w:rsidR="004730FB" w:rsidRDefault="004730FB" w:rsidP="004730FB">
      <w:pPr>
        <w:jc w:val="both"/>
        <w:outlineLvl w:val="0"/>
        <w:rPr>
          <w:rFonts w:ascii="Verdana" w:hAnsi="Verdana"/>
          <w:sz w:val="20"/>
          <w:szCs w:val="20"/>
        </w:rPr>
      </w:pPr>
    </w:p>
    <w:p w:rsidR="004730FB" w:rsidRDefault="004730FB" w:rsidP="004730FB">
      <w:pPr>
        <w:jc w:val="both"/>
        <w:outlineLvl w:val="0"/>
        <w:rPr>
          <w:rFonts w:ascii="Verdana" w:hAnsi="Verdana"/>
          <w:sz w:val="20"/>
          <w:szCs w:val="20"/>
        </w:rPr>
      </w:pPr>
      <w:r>
        <w:rPr>
          <w:rFonts w:ascii="Verdana" w:hAnsi="Verdana"/>
          <w:sz w:val="20"/>
          <w:szCs w:val="20"/>
        </w:rPr>
        <w:t xml:space="preserve">Oproti stávající vyhlášce dochází k těmto </w:t>
      </w:r>
      <w:r w:rsidRPr="00663E8C">
        <w:rPr>
          <w:rFonts w:ascii="Verdana" w:hAnsi="Verdana"/>
          <w:sz w:val="20"/>
          <w:szCs w:val="20"/>
          <w:u w:val="single"/>
        </w:rPr>
        <w:t>změnám</w:t>
      </w:r>
      <w:r>
        <w:rPr>
          <w:rFonts w:ascii="Verdana" w:hAnsi="Verdana"/>
          <w:sz w:val="20"/>
          <w:szCs w:val="20"/>
        </w:rPr>
        <w:t xml:space="preserve">: </w:t>
      </w:r>
    </w:p>
    <w:p w:rsidR="004730FB" w:rsidRDefault="004730FB" w:rsidP="004730FB">
      <w:pPr>
        <w:jc w:val="both"/>
        <w:outlineLvl w:val="0"/>
        <w:rPr>
          <w:rFonts w:ascii="Verdana" w:hAnsi="Verdana"/>
          <w:sz w:val="20"/>
          <w:szCs w:val="20"/>
        </w:rPr>
      </w:pPr>
    </w:p>
    <w:p w:rsidR="004730FB" w:rsidRPr="00AD50E4" w:rsidRDefault="004730FB" w:rsidP="004730FB">
      <w:pPr>
        <w:jc w:val="both"/>
        <w:outlineLvl w:val="0"/>
        <w:rPr>
          <w:rFonts w:ascii="Verdana" w:hAnsi="Verdana"/>
          <w:b/>
          <w:sz w:val="20"/>
          <w:szCs w:val="20"/>
        </w:rPr>
      </w:pPr>
      <w:r w:rsidRPr="008761C7">
        <w:rPr>
          <w:rFonts w:ascii="Verdana" w:hAnsi="Verdana"/>
          <w:b/>
          <w:sz w:val="20"/>
          <w:szCs w:val="20"/>
        </w:rPr>
        <w:lastRenderedPageBreak/>
        <w:t>Horní hranice poplatku je nově až 1200,-Kč za poplatníka</w:t>
      </w:r>
      <w:r>
        <w:rPr>
          <w:rFonts w:ascii="Verdana" w:hAnsi="Verdana"/>
          <w:sz w:val="20"/>
          <w:szCs w:val="20"/>
        </w:rPr>
        <w:t xml:space="preserve">. Ke stanovení výše poplatku není již nutný propočet nákladů města z předchozího roku (dle výpočtu jsou náklady odpadového hospodářství na jednoho obyvatele Kutné Hory v roce 2020  1295,- Kč). </w:t>
      </w:r>
      <w:r>
        <w:rPr>
          <w:rFonts w:ascii="Verdana" w:hAnsi="Verdana"/>
          <w:b/>
          <w:sz w:val="20"/>
          <w:szCs w:val="20"/>
        </w:rPr>
        <w:t xml:space="preserve">Ve vyhlášce není doplněna výše poplatku (dosavadní výše je 650 Kč za poplatníka), </w:t>
      </w:r>
      <w:proofErr w:type="gramStart"/>
      <w:r>
        <w:rPr>
          <w:rFonts w:ascii="Verdana" w:hAnsi="Verdana"/>
          <w:b/>
          <w:sz w:val="20"/>
          <w:szCs w:val="20"/>
        </w:rPr>
        <w:t>je</w:t>
      </w:r>
      <w:proofErr w:type="gramEnd"/>
      <w:r>
        <w:rPr>
          <w:rFonts w:ascii="Verdana" w:hAnsi="Verdana"/>
          <w:b/>
          <w:sz w:val="20"/>
          <w:szCs w:val="20"/>
        </w:rPr>
        <w:t xml:space="preserve"> tedy na ZM jaká výše bude stanovena.</w:t>
      </w:r>
    </w:p>
    <w:p w:rsidR="004730FB" w:rsidRDefault="004730FB" w:rsidP="004730FB">
      <w:pPr>
        <w:jc w:val="both"/>
        <w:outlineLvl w:val="0"/>
        <w:rPr>
          <w:rFonts w:ascii="Verdana" w:hAnsi="Verdana"/>
          <w:sz w:val="20"/>
          <w:szCs w:val="20"/>
        </w:rPr>
      </w:pPr>
    </w:p>
    <w:p w:rsidR="004730FB" w:rsidRDefault="004730FB" w:rsidP="004730FB">
      <w:pPr>
        <w:jc w:val="both"/>
        <w:outlineLvl w:val="0"/>
        <w:rPr>
          <w:rFonts w:ascii="Verdana" w:hAnsi="Verdana"/>
          <w:sz w:val="20"/>
          <w:szCs w:val="20"/>
        </w:rPr>
      </w:pPr>
      <w:r>
        <w:rPr>
          <w:rFonts w:ascii="Verdana" w:hAnsi="Verdana"/>
          <w:sz w:val="20"/>
          <w:szCs w:val="20"/>
        </w:rPr>
        <w:t>Nově jsou zpoplatněny právnické osoby, které mají ve vlastnictví neobydlený dům nebo byt.</w:t>
      </w:r>
    </w:p>
    <w:p w:rsidR="004730FB" w:rsidRDefault="004730FB" w:rsidP="004730FB">
      <w:pPr>
        <w:jc w:val="both"/>
        <w:outlineLvl w:val="0"/>
        <w:rPr>
          <w:rFonts w:ascii="Verdana" w:hAnsi="Verdana"/>
          <w:sz w:val="20"/>
          <w:szCs w:val="20"/>
        </w:rPr>
      </w:pPr>
    </w:p>
    <w:p w:rsidR="004730FB" w:rsidRDefault="004730FB" w:rsidP="004730FB">
      <w:pPr>
        <w:jc w:val="both"/>
        <w:outlineLvl w:val="0"/>
        <w:rPr>
          <w:rFonts w:ascii="Verdana" w:hAnsi="Verdana"/>
          <w:sz w:val="20"/>
          <w:szCs w:val="20"/>
        </w:rPr>
      </w:pPr>
      <w:r>
        <w:rPr>
          <w:rFonts w:ascii="Verdana" w:hAnsi="Verdana"/>
          <w:sz w:val="20"/>
          <w:szCs w:val="20"/>
        </w:rPr>
        <w:t xml:space="preserve">Ve vyhlášce je nově upraveno osvobození.  </w:t>
      </w:r>
    </w:p>
    <w:p w:rsidR="004730FB" w:rsidRDefault="004730FB" w:rsidP="004730FB">
      <w:pPr>
        <w:jc w:val="both"/>
        <w:outlineLvl w:val="0"/>
        <w:rPr>
          <w:rFonts w:ascii="Verdana" w:hAnsi="Verdana"/>
          <w:sz w:val="20"/>
          <w:szCs w:val="20"/>
        </w:rPr>
      </w:pPr>
    </w:p>
    <w:p w:rsidR="004730FB" w:rsidRDefault="004730FB" w:rsidP="004730FB">
      <w:pPr>
        <w:jc w:val="both"/>
        <w:outlineLvl w:val="0"/>
        <w:rPr>
          <w:rFonts w:ascii="Verdana" w:hAnsi="Verdana"/>
          <w:sz w:val="20"/>
          <w:szCs w:val="20"/>
        </w:rPr>
      </w:pPr>
      <w:r>
        <w:rPr>
          <w:rFonts w:ascii="Verdana" w:hAnsi="Verdana"/>
          <w:sz w:val="20"/>
          <w:szCs w:val="20"/>
        </w:rPr>
        <w:t xml:space="preserve">Zákonná úprava je rozšířena o osvobození: </w:t>
      </w:r>
    </w:p>
    <w:p w:rsidR="004730FB" w:rsidRDefault="004730FB" w:rsidP="004730FB">
      <w:pPr>
        <w:numPr>
          <w:ilvl w:val="0"/>
          <w:numId w:val="18"/>
        </w:numPr>
        <w:jc w:val="both"/>
        <w:outlineLvl w:val="0"/>
        <w:rPr>
          <w:rFonts w:ascii="Verdana" w:hAnsi="Verdana"/>
          <w:sz w:val="20"/>
          <w:szCs w:val="20"/>
        </w:rPr>
      </w:pPr>
      <w:r>
        <w:rPr>
          <w:rFonts w:ascii="Verdana" w:hAnsi="Verdana"/>
          <w:sz w:val="20"/>
          <w:szCs w:val="20"/>
        </w:rPr>
        <w:t>pokud poplatník platí poplatek za odkládání komunálního odpadu v jiné obci a tuto skutečnost doloží</w:t>
      </w:r>
    </w:p>
    <w:p w:rsidR="004730FB" w:rsidRDefault="004730FB" w:rsidP="004730FB">
      <w:pPr>
        <w:numPr>
          <w:ilvl w:val="0"/>
          <w:numId w:val="18"/>
        </w:numPr>
        <w:jc w:val="both"/>
        <w:outlineLvl w:val="0"/>
        <w:rPr>
          <w:rFonts w:ascii="Verdana" w:hAnsi="Verdana"/>
          <w:sz w:val="20"/>
          <w:szCs w:val="20"/>
        </w:rPr>
      </w:pPr>
      <w:r>
        <w:rPr>
          <w:rFonts w:ascii="Verdana" w:hAnsi="Verdana"/>
          <w:sz w:val="20"/>
          <w:szCs w:val="20"/>
        </w:rPr>
        <w:t xml:space="preserve">pro osoby omezené na svobodě. </w:t>
      </w:r>
    </w:p>
    <w:p w:rsidR="004730FB" w:rsidRDefault="004730FB" w:rsidP="004730FB">
      <w:pPr>
        <w:jc w:val="both"/>
        <w:outlineLvl w:val="0"/>
        <w:rPr>
          <w:rFonts w:ascii="Verdana" w:hAnsi="Verdana"/>
          <w:sz w:val="20"/>
          <w:szCs w:val="20"/>
        </w:rPr>
      </w:pPr>
    </w:p>
    <w:p w:rsidR="004730FB" w:rsidRDefault="004730FB" w:rsidP="004730FB">
      <w:pPr>
        <w:jc w:val="both"/>
        <w:outlineLvl w:val="0"/>
        <w:rPr>
          <w:rFonts w:ascii="Verdana" w:hAnsi="Verdana"/>
          <w:sz w:val="20"/>
          <w:szCs w:val="20"/>
        </w:rPr>
      </w:pPr>
      <w:r>
        <w:rPr>
          <w:rFonts w:ascii="Verdana" w:hAnsi="Verdana"/>
          <w:sz w:val="20"/>
          <w:szCs w:val="20"/>
        </w:rPr>
        <w:t xml:space="preserve">Navrhovaná úprava osvobození zavedená obcí: </w:t>
      </w:r>
    </w:p>
    <w:p w:rsidR="004730FB" w:rsidRDefault="004730FB" w:rsidP="004730FB">
      <w:pPr>
        <w:numPr>
          <w:ilvl w:val="0"/>
          <w:numId w:val="17"/>
        </w:numPr>
        <w:jc w:val="both"/>
        <w:outlineLvl w:val="0"/>
        <w:rPr>
          <w:rFonts w:ascii="Verdana" w:hAnsi="Verdana"/>
          <w:sz w:val="20"/>
          <w:szCs w:val="20"/>
        </w:rPr>
      </w:pPr>
      <w:r>
        <w:rPr>
          <w:rFonts w:ascii="Verdana" w:hAnsi="Verdana"/>
          <w:sz w:val="20"/>
          <w:szCs w:val="20"/>
        </w:rPr>
        <w:t>zrušení úlevy na třetí a další dítě</w:t>
      </w:r>
    </w:p>
    <w:p w:rsidR="004730FB" w:rsidRDefault="004730FB" w:rsidP="004730FB">
      <w:pPr>
        <w:numPr>
          <w:ilvl w:val="0"/>
          <w:numId w:val="17"/>
        </w:numPr>
        <w:jc w:val="both"/>
        <w:outlineLvl w:val="0"/>
        <w:rPr>
          <w:rFonts w:ascii="Verdana" w:hAnsi="Verdana"/>
          <w:sz w:val="20"/>
          <w:szCs w:val="20"/>
        </w:rPr>
      </w:pPr>
      <w:r>
        <w:rPr>
          <w:rFonts w:ascii="Verdana" w:hAnsi="Verdana"/>
          <w:sz w:val="20"/>
          <w:szCs w:val="20"/>
        </w:rPr>
        <w:t xml:space="preserve">zrušení úlevy pro osoby, které žijí na ubytovně. </w:t>
      </w:r>
    </w:p>
    <w:p w:rsidR="004730FB" w:rsidRDefault="004730FB" w:rsidP="004730FB">
      <w:pPr>
        <w:jc w:val="both"/>
        <w:outlineLvl w:val="0"/>
        <w:rPr>
          <w:rFonts w:ascii="Verdana" w:hAnsi="Verdana"/>
          <w:sz w:val="20"/>
          <w:szCs w:val="20"/>
        </w:rPr>
      </w:pPr>
    </w:p>
    <w:p w:rsidR="004730FB" w:rsidRDefault="004730FB" w:rsidP="004730FB">
      <w:pPr>
        <w:jc w:val="both"/>
        <w:outlineLvl w:val="0"/>
        <w:rPr>
          <w:rFonts w:ascii="Verdana" w:hAnsi="Verdana"/>
          <w:sz w:val="20"/>
          <w:szCs w:val="20"/>
        </w:rPr>
      </w:pPr>
      <w:r>
        <w:rPr>
          <w:rFonts w:ascii="Verdana" w:hAnsi="Verdana"/>
          <w:sz w:val="20"/>
          <w:szCs w:val="20"/>
        </w:rPr>
        <w:t>Ubytovny jsou převážně využívány k ubytování zaměstnanců firem. Jedná se o cizince, které nelehkým způsobem zpoplatňujeme a pak je vzápětí osvobodíme (údaje o cizincích jsou v porovnání základních registrů a informačního systému cizinců značně nepřehledné a nejednotné).</w:t>
      </w:r>
    </w:p>
    <w:p w:rsidR="004730FB" w:rsidRDefault="004730FB" w:rsidP="004730FB">
      <w:pPr>
        <w:jc w:val="both"/>
        <w:outlineLvl w:val="0"/>
        <w:rPr>
          <w:rFonts w:ascii="Verdana" w:hAnsi="Verdana"/>
          <w:sz w:val="20"/>
          <w:szCs w:val="20"/>
        </w:rPr>
      </w:pPr>
      <w:r>
        <w:rPr>
          <w:rFonts w:ascii="Verdana" w:hAnsi="Verdana"/>
          <w:sz w:val="20"/>
          <w:szCs w:val="20"/>
        </w:rPr>
        <w:t xml:space="preserve">Úleva pro 3. a další dítě je využívána velmi málo a také ověřování skutečností je značně složité. (Každoročně dochází k velkému počtu přehlašování trvalého pobytu dětí z důvodu přihlášek do školky a školy. Po zápisech do škol a školek se opět trvalé bydliště mění.) V roce 2020 bylo podáno 43 žádostí. </w:t>
      </w:r>
    </w:p>
    <w:p w:rsidR="004730FB" w:rsidRDefault="004730FB" w:rsidP="004730FB">
      <w:pPr>
        <w:rPr>
          <w:rFonts w:ascii="Verdana" w:hAnsi="Verdana"/>
          <w:sz w:val="20"/>
          <w:szCs w:val="20"/>
        </w:rPr>
      </w:pPr>
    </w:p>
    <w:p w:rsidR="004730FB" w:rsidRDefault="004730FB" w:rsidP="004730FB">
      <w:pPr>
        <w:jc w:val="both"/>
        <w:rPr>
          <w:rFonts w:ascii="Verdana" w:hAnsi="Verdana"/>
          <w:sz w:val="20"/>
          <w:szCs w:val="20"/>
        </w:rPr>
      </w:pPr>
      <w:r>
        <w:rPr>
          <w:rFonts w:ascii="Verdana" w:hAnsi="Verdana"/>
          <w:sz w:val="20"/>
          <w:szCs w:val="20"/>
        </w:rPr>
        <w:t>Materiál je doplněn o přehledný rozpis nákladů a příjmů za jednotlivé roky v oblasti odpadového hospodářství tak, jak zpracovala Kateřina Hladíková z odboru investic, technického oddělení.</w:t>
      </w:r>
    </w:p>
    <w:p w:rsidR="004730FB" w:rsidRDefault="004730FB" w:rsidP="004730FB">
      <w:pPr>
        <w:rPr>
          <w:rFonts w:ascii="Verdana" w:hAnsi="Verdana"/>
          <w:sz w:val="20"/>
          <w:szCs w:val="20"/>
        </w:rPr>
      </w:pPr>
    </w:p>
    <w:p w:rsidR="004730FB" w:rsidRPr="00F30052" w:rsidRDefault="004730FB" w:rsidP="004730FB">
      <w:pPr>
        <w:shd w:val="clear" w:color="auto" w:fill="EEECE1"/>
        <w:rPr>
          <w:rFonts w:ascii="Verdana" w:hAnsi="Verdana"/>
          <w:sz w:val="20"/>
          <w:szCs w:val="20"/>
        </w:rPr>
      </w:pPr>
      <w:r w:rsidRPr="00E93CC1">
        <w:rPr>
          <w:rFonts w:ascii="Verdana" w:hAnsi="Verdana"/>
          <w:sz w:val="20"/>
          <w:szCs w:val="20"/>
          <w:shd w:val="clear" w:color="auto" w:fill="EEECE1"/>
        </w:rPr>
        <w:t>Náklady na odpad v Kutné Hoře rok</w:t>
      </w:r>
      <w:r w:rsidRPr="00F30052">
        <w:rPr>
          <w:rFonts w:ascii="Verdana" w:hAnsi="Verdana"/>
          <w:sz w:val="20"/>
          <w:szCs w:val="20"/>
        </w:rPr>
        <w:t>:</w:t>
      </w:r>
    </w:p>
    <w:p w:rsidR="004730FB" w:rsidRDefault="004730FB" w:rsidP="004730FB">
      <w:pPr>
        <w:shd w:val="clear" w:color="auto" w:fill="EEECE1"/>
        <w:rPr>
          <w:rFonts w:ascii="Verdana" w:hAnsi="Verdana"/>
          <w:sz w:val="20"/>
          <w:szCs w:val="20"/>
        </w:rPr>
      </w:pPr>
      <w:r>
        <w:rPr>
          <w:rFonts w:ascii="Verdana" w:hAnsi="Verdana"/>
          <w:sz w:val="20"/>
          <w:szCs w:val="20"/>
        </w:rPr>
        <w:t>2</w:t>
      </w:r>
      <w:r w:rsidRPr="001769B0">
        <w:rPr>
          <w:rFonts w:ascii="Verdana" w:hAnsi="Verdana"/>
          <w:sz w:val="20"/>
          <w:szCs w:val="20"/>
          <w:shd w:val="clear" w:color="auto" w:fill="EEECE1"/>
        </w:rPr>
        <w:t>0</w:t>
      </w:r>
      <w:r>
        <w:rPr>
          <w:rFonts w:ascii="Verdana" w:hAnsi="Verdana"/>
          <w:sz w:val="20"/>
          <w:szCs w:val="20"/>
        </w:rPr>
        <w:t>20</w:t>
      </w:r>
    </w:p>
    <w:tbl>
      <w:tblPr>
        <w:tblW w:w="8320" w:type="dxa"/>
        <w:tblInd w:w="55" w:type="dxa"/>
        <w:tblCellMar>
          <w:left w:w="70" w:type="dxa"/>
          <w:right w:w="70" w:type="dxa"/>
        </w:tblCellMar>
        <w:tblLook w:val="04A0" w:firstRow="1" w:lastRow="0" w:firstColumn="1" w:lastColumn="0" w:noHBand="0" w:noVBand="1"/>
      </w:tblPr>
      <w:tblGrid>
        <w:gridCol w:w="5300"/>
        <w:gridCol w:w="3020"/>
      </w:tblGrid>
      <w:tr w:rsidR="004730FB" w:rsidTr="004730FB">
        <w:trPr>
          <w:trHeight w:val="312"/>
        </w:trPr>
        <w:tc>
          <w:tcPr>
            <w:tcW w:w="5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730FB" w:rsidRPr="007F3193" w:rsidRDefault="004730FB" w:rsidP="004730FB">
            <w:pPr>
              <w:rPr>
                <w:rFonts w:cs="Arial"/>
                <w:b/>
                <w:bCs/>
              </w:rPr>
            </w:pPr>
            <w:r w:rsidRPr="007F3193">
              <w:rPr>
                <w:rFonts w:cs="Arial"/>
                <w:b/>
                <w:bCs/>
              </w:rPr>
              <w:t>Náklady Města (dotace na provoz)</w:t>
            </w:r>
          </w:p>
        </w:tc>
        <w:tc>
          <w:tcPr>
            <w:tcW w:w="3020" w:type="dxa"/>
            <w:tcBorders>
              <w:top w:val="single" w:sz="8" w:space="0" w:color="auto"/>
              <w:left w:val="nil"/>
              <w:bottom w:val="single" w:sz="4" w:space="0" w:color="auto"/>
              <w:right w:val="single" w:sz="8" w:space="0" w:color="auto"/>
            </w:tcBorders>
            <w:shd w:val="clear" w:color="auto" w:fill="auto"/>
            <w:noWrap/>
            <w:vAlign w:val="bottom"/>
            <w:hideMark/>
          </w:tcPr>
          <w:p w:rsidR="004730FB" w:rsidRPr="007F3193" w:rsidRDefault="004730FB" w:rsidP="004730FB">
            <w:pPr>
              <w:jc w:val="right"/>
              <w:rPr>
                <w:rFonts w:cs="Arial"/>
              </w:rPr>
            </w:pPr>
            <w:r w:rsidRPr="007F3193">
              <w:rPr>
                <w:rFonts w:cs="Arial"/>
              </w:rPr>
              <w:t>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7F3193" w:rsidRDefault="004730FB" w:rsidP="004730FB">
            <w:pPr>
              <w:rPr>
                <w:rFonts w:cs="Arial"/>
              </w:rPr>
            </w:pPr>
            <w:r w:rsidRPr="007F3193">
              <w:rPr>
                <w:rFonts w:cs="Arial"/>
              </w:rPr>
              <w:t>CELKOVÉ NÁKLADY</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7F3193" w:rsidRDefault="004730FB" w:rsidP="004730FB">
            <w:pPr>
              <w:jc w:val="right"/>
              <w:rPr>
                <w:rFonts w:cs="Arial"/>
              </w:rPr>
            </w:pPr>
            <w:r w:rsidRPr="007F3193">
              <w:rPr>
                <w:rFonts w:cs="Arial"/>
              </w:rPr>
              <w:t>30 510 257,36</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7F3193" w:rsidRDefault="004730FB" w:rsidP="004730FB">
            <w:pPr>
              <w:rPr>
                <w:rFonts w:cs="Arial"/>
              </w:rPr>
            </w:pPr>
            <w:r w:rsidRPr="007F3193">
              <w:rPr>
                <w:rFonts w:cs="Arial"/>
              </w:rPr>
              <w:t>PŘÍJEM ZPĚTNÝ ODBĚR</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7F3193" w:rsidRDefault="004730FB" w:rsidP="004730FB">
            <w:pPr>
              <w:jc w:val="right"/>
              <w:rPr>
                <w:rFonts w:cs="Arial"/>
              </w:rPr>
            </w:pPr>
            <w:r w:rsidRPr="007F3193">
              <w:rPr>
                <w:rFonts w:cs="Arial"/>
              </w:rPr>
              <w:t>-3 155 102,50</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7F3193" w:rsidRDefault="004730FB" w:rsidP="004730FB">
            <w:pPr>
              <w:rPr>
                <w:rFonts w:cs="Arial"/>
              </w:rPr>
            </w:pPr>
            <w:r w:rsidRPr="007F3193">
              <w:rPr>
                <w:rFonts w:cs="Arial"/>
              </w:rPr>
              <w:t>PŘÍJEM OD OBČANŮ</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7F3193" w:rsidRDefault="004730FB" w:rsidP="004730FB">
            <w:pPr>
              <w:jc w:val="right"/>
              <w:rPr>
                <w:rFonts w:cs="Arial"/>
              </w:rPr>
            </w:pPr>
            <w:r w:rsidRPr="007F3193">
              <w:rPr>
                <w:rFonts w:cs="Arial"/>
              </w:rPr>
              <w:t>-13 013 149,84</w:t>
            </w:r>
          </w:p>
        </w:tc>
      </w:tr>
      <w:tr w:rsidR="004730FB" w:rsidTr="004730FB">
        <w:trPr>
          <w:trHeight w:val="312"/>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7F3193" w:rsidRDefault="004730FB" w:rsidP="004730FB">
            <w:pPr>
              <w:rPr>
                <w:rFonts w:cs="Arial"/>
              </w:rPr>
            </w:pPr>
            <w:r w:rsidRPr="007F3193">
              <w:rPr>
                <w:rFonts w:cs="Arial"/>
              </w:rPr>
              <w:t>Příjem od podnikatelů zapojených do systému</w:t>
            </w:r>
          </w:p>
        </w:tc>
        <w:tc>
          <w:tcPr>
            <w:tcW w:w="3020" w:type="dxa"/>
            <w:tcBorders>
              <w:top w:val="nil"/>
              <w:left w:val="nil"/>
              <w:bottom w:val="nil"/>
              <w:right w:val="single" w:sz="8" w:space="0" w:color="auto"/>
            </w:tcBorders>
            <w:shd w:val="clear" w:color="auto" w:fill="auto"/>
            <w:noWrap/>
            <w:vAlign w:val="bottom"/>
            <w:hideMark/>
          </w:tcPr>
          <w:p w:rsidR="004730FB" w:rsidRPr="007F3193" w:rsidRDefault="004730FB" w:rsidP="004730FB">
            <w:pPr>
              <w:jc w:val="right"/>
              <w:rPr>
                <w:rFonts w:cs="Arial"/>
              </w:rPr>
            </w:pPr>
            <w:r w:rsidRPr="007F3193">
              <w:rPr>
                <w:rFonts w:cs="Arial"/>
              </w:rPr>
              <w:t>-31 375,00</w:t>
            </w:r>
          </w:p>
        </w:tc>
      </w:tr>
      <w:tr w:rsidR="004730FB" w:rsidTr="004730FB">
        <w:trPr>
          <w:trHeight w:val="432"/>
        </w:trPr>
        <w:tc>
          <w:tcPr>
            <w:tcW w:w="5300" w:type="dxa"/>
            <w:tcBorders>
              <w:top w:val="nil"/>
              <w:left w:val="single" w:sz="8" w:space="0" w:color="auto"/>
              <w:bottom w:val="single" w:sz="8" w:space="0" w:color="auto"/>
              <w:right w:val="nil"/>
            </w:tcBorders>
            <w:shd w:val="clear" w:color="auto" w:fill="auto"/>
            <w:noWrap/>
            <w:vAlign w:val="bottom"/>
            <w:hideMark/>
          </w:tcPr>
          <w:p w:rsidR="004730FB" w:rsidRPr="007F3193" w:rsidRDefault="004730FB" w:rsidP="004730FB">
            <w:pPr>
              <w:rPr>
                <w:rFonts w:cs="Arial"/>
              </w:rPr>
            </w:pPr>
            <w:proofErr w:type="gramStart"/>
            <w:r w:rsidRPr="007F3193">
              <w:rPr>
                <w:rFonts w:cs="Arial"/>
              </w:rPr>
              <w:t>CELKEM :</w:t>
            </w:r>
            <w:proofErr w:type="gramEnd"/>
          </w:p>
        </w:tc>
        <w:tc>
          <w:tcPr>
            <w:tcW w:w="3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0FB" w:rsidRPr="007F3193" w:rsidRDefault="004730FB" w:rsidP="004730FB">
            <w:pPr>
              <w:jc w:val="right"/>
              <w:rPr>
                <w:rFonts w:cs="Arial"/>
                <w:b/>
                <w:bCs/>
              </w:rPr>
            </w:pPr>
            <w:r w:rsidRPr="007F3193">
              <w:rPr>
                <w:rFonts w:cs="Arial"/>
                <w:b/>
                <w:bCs/>
              </w:rPr>
              <w:t>14 310 630,02</w:t>
            </w:r>
          </w:p>
        </w:tc>
      </w:tr>
    </w:tbl>
    <w:p w:rsidR="004730FB" w:rsidRDefault="004730FB" w:rsidP="004730FB"/>
    <w:p w:rsidR="004730FB" w:rsidRDefault="004730FB" w:rsidP="004730FB">
      <w:pPr>
        <w:pStyle w:val="Normlnweb"/>
        <w:jc w:val="both"/>
        <w:rPr>
          <w:rFonts w:ascii="Calibri" w:hAnsi="Calibri"/>
          <w:color w:val="000000"/>
        </w:rPr>
      </w:pPr>
      <w:r>
        <w:rPr>
          <w:rFonts w:ascii="Calibri" w:hAnsi="Calibri"/>
          <w:color w:val="000000"/>
        </w:rPr>
        <w:t xml:space="preserve">Důvodem zvýšení nákladů na OH města je zvýšení položkových cen za služby o míru inflace. Ve sběrném dvoře bylo odevzdáno občany města více objemných odpadů (o 55 % více než v roce 2019), což představovalo zvýšení nákladů o více než 1 mil. Kč. Zároveň jsme od roku 2020 byli nuceni platit </w:t>
      </w:r>
      <w:proofErr w:type="spellStart"/>
      <w:r>
        <w:rPr>
          <w:rFonts w:ascii="Calibri" w:hAnsi="Calibri"/>
          <w:color w:val="000000"/>
        </w:rPr>
        <w:t>dotřiďovací</w:t>
      </w:r>
      <w:proofErr w:type="spellEnd"/>
      <w:r>
        <w:rPr>
          <w:rFonts w:ascii="Calibri" w:hAnsi="Calibri"/>
          <w:color w:val="000000"/>
        </w:rPr>
        <w:t xml:space="preserve"> lince za odevzdání separovaného papíru a plastu (1000 Kč za 1 tunu plastu a 750 Kč za 1 tunu papíru). Důvodem je krize na trhu s prodejem druhotných surovin. Separovaného papíru a plastu ve městě přibývá a ubývá směsného komunálního odpadu (dále jen "SKO"). I když SKO ubývá, svozové trasy jsou stále stejné a město platí za provoz svozového vozidla, které projíždí každý týden ulice města bez ohledu na naplněnost nádob. Zde je tedy na místě uvažovat o svozu SKO s četností 1x 14 dní a navýšit svoz separovaných odpadů. Dotaci na nákup sběrných nádob pro třídění plastu a papíru připravuje TO-OI.</w:t>
      </w:r>
    </w:p>
    <w:p w:rsidR="004730FB" w:rsidRDefault="004730FB" w:rsidP="004730FB"/>
    <w:p w:rsidR="004730FB" w:rsidRPr="00721B59" w:rsidRDefault="004730FB" w:rsidP="004730FB">
      <w:pPr>
        <w:shd w:val="clear" w:color="auto" w:fill="EEECE1"/>
        <w:rPr>
          <w:rFonts w:ascii="Verdana" w:hAnsi="Verdana"/>
          <w:sz w:val="20"/>
        </w:rPr>
      </w:pPr>
      <w:r w:rsidRPr="00721B59">
        <w:rPr>
          <w:rFonts w:ascii="Verdana" w:hAnsi="Verdana"/>
          <w:sz w:val="20"/>
        </w:rPr>
        <w:t>2019</w:t>
      </w:r>
    </w:p>
    <w:tbl>
      <w:tblPr>
        <w:tblW w:w="8320" w:type="dxa"/>
        <w:tblInd w:w="55" w:type="dxa"/>
        <w:tblCellMar>
          <w:left w:w="70" w:type="dxa"/>
          <w:right w:w="70" w:type="dxa"/>
        </w:tblCellMar>
        <w:tblLook w:val="04A0" w:firstRow="1" w:lastRow="0" w:firstColumn="1" w:lastColumn="0" w:noHBand="0" w:noVBand="1"/>
      </w:tblPr>
      <w:tblGrid>
        <w:gridCol w:w="5300"/>
        <w:gridCol w:w="3020"/>
      </w:tblGrid>
      <w:tr w:rsidR="004730FB" w:rsidTr="004730FB">
        <w:trPr>
          <w:trHeight w:val="312"/>
        </w:trPr>
        <w:tc>
          <w:tcPr>
            <w:tcW w:w="5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b/>
                <w:bCs/>
              </w:rPr>
            </w:pPr>
            <w:r w:rsidRPr="008E3994">
              <w:rPr>
                <w:rFonts w:cs="Arial"/>
                <w:b/>
                <w:bCs/>
              </w:rPr>
              <w:t>Náklady Města (dotace na provoz)</w:t>
            </w:r>
          </w:p>
        </w:tc>
        <w:tc>
          <w:tcPr>
            <w:tcW w:w="3020" w:type="dxa"/>
            <w:tcBorders>
              <w:top w:val="single" w:sz="8" w:space="0" w:color="auto"/>
              <w:left w:val="nil"/>
              <w:bottom w:val="single" w:sz="4" w:space="0" w:color="auto"/>
              <w:right w:val="single" w:sz="8" w:space="0" w:color="auto"/>
            </w:tcBorders>
            <w:shd w:val="clear" w:color="auto" w:fill="auto"/>
            <w:noWrap/>
            <w:vAlign w:val="bottom"/>
            <w:hideMark/>
          </w:tcPr>
          <w:p w:rsidR="004730FB" w:rsidRPr="008E3994" w:rsidRDefault="004730FB" w:rsidP="004730FB">
            <w:pPr>
              <w:rPr>
                <w:rFonts w:cs="Arial"/>
              </w:rPr>
            </w:pPr>
            <w:r w:rsidRPr="008E3994">
              <w:rPr>
                <w:rFonts w:cs="Arial"/>
              </w:rPr>
              <w:t>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CELKOVÉ NÁKLADY</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26 195 602,94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ZPĚTNÝ ODBĚR</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-2 849 755,35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OBČANŮ</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-13 421 496,00   </w:t>
            </w:r>
          </w:p>
        </w:tc>
      </w:tr>
      <w:tr w:rsidR="004730FB" w:rsidTr="004730FB">
        <w:trPr>
          <w:trHeight w:val="312"/>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podnikatelů zapojených do systému</w:t>
            </w:r>
          </w:p>
        </w:tc>
        <w:tc>
          <w:tcPr>
            <w:tcW w:w="3020" w:type="dxa"/>
            <w:tcBorders>
              <w:top w:val="nil"/>
              <w:left w:val="nil"/>
              <w:bottom w:val="nil"/>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-28 931,00   </w:t>
            </w:r>
          </w:p>
        </w:tc>
      </w:tr>
      <w:tr w:rsidR="004730FB" w:rsidTr="004730FB">
        <w:trPr>
          <w:trHeight w:val="432"/>
        </w:trPr>
        <w:tc>
          <w:tcPr>
            <w:tcW w:w="5300" w:type="dxa"/>
            <w:tcBorders>
              <w:top w:val="nil"/>
              <w:left w:val="single" w:sz="8" w:space="0" w:color="auto"/>
              <w:bottom w:val="single" w:sz="8" w:space="0" w:color="auto"/>
              <w:right w:val="nil"/>
            </w:tcBorders>
            <w:shd w:val="clear" w:color="auto" w:fill="auto"/>
            <w:noWrap/>
            <w:vAlign w:val="bottom"/>
            <w:hideMark/>
          </w:tcPr>
          <w:p w:rsidR="004730FB" w:rsidRPr="008E3994" w:rsidRDefault="004730FB" w:rsidP="004730FB">
            <w:pPr>
              <w:rPr>
                <w:rFonts w:cs="Arial"/>
              </w:rPr>
            </w:pPr>
            <w:r w:rsidRPr="008E3994">
              <w:rPr>
                <w:rFonts w:cs="Arial"/>
              </w:rPr>
              <w:t>CELKEM:</w:t>
            </w:r>
          </w:p>
        </w:tc>
        <w:tc>
          <w:tcPr>
            <w:tcW w:w="3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0FB" w:rsidRPr="008E3994" w:rsidRDefault="004730FB" w:rsidP="004730FB">
            <w:pPr>
              <w:jc w:val="right"/>
              <w:rPr>
                <w:rFonts w:cs="Arial"/>
                <w:b/>
                <w:bCs/>
              </w:rPr>
            </w:pPr>
            <w:r w:rsidRPr="008E3994">
              <w:rPr>
                <w:rFonts w:cs="Arial"/>
                <w:b/>
                <w:bCs/>
              </w:rPr>
              <w:t xml:space="preserve">9 895 420,59   </w:t>
            </w:r>
          </w:p>
        </w:tc>
      </w:tr>
    </w:tbl>
    <w:p w:rsidR="004730FB" w:rsidRDefault="004730FB" w:rsidP="004730FB">
      <w:pPr>
        <w:rPr>
          <w:rFonts w:ascii="Verdana" w:hAnsi="Verdana"/>
          <w:sz w:val="20"/>
          <w:szCs w:val="20"/>
        </w:rPr>
      </w:pPr>
    </w:p>
    <w:p w:rsidR="004730FB" w:rsidRDefault="004730FB" w:rsidP="004730FB">
      <w:pPr>
        <w:shd w:val="clear" w:color="auto" w:fill="EEECE1"/>
        <w:rPr>
          <w:rFonts w:ascii="Verdana" w:hAnsi="Verdana"/>
          <w:sz w:val="20"/>
          <w:szCs w:val="20"/>
        </w:rPr>
      </w:pPr>
      <w:r>
        <w:rPr>
          <w:rFonts w:ascii="Verdana" w:hAnsi="Verdana"/>
          <w:sz w:val="20"/>
          <w:szCs w:val="20"/>
        </w:rPr>
        <w:t>2018</w:t>
      </w:r>
    </w:p>
    <w:tbl>
      <w:tblPr>
        <w:tblW w:w="8320" w:type="dxa"/>
        <w:tblInd w:w="55" w:type="dxa"/>
        <w:tblCellMar>
          <w:left w:w="70" w:type="dxa"/>
          <w:right w:w="70" w:type="dxa"/>
        </w:tblCellMar>
        <w:tblLook w:val="04A0" w:firstRow="1" w:lastRow="0" w:firstColumn="1" w:lastColumn="0" w:noHBand="0" w:noVBand="1"/>
      </w:tblPr>
      <w:tblGrid>
        <w:gridCol w:w="5300"/>
        <w:gridCol w:w="3020"/>
      </w:tblGrid>
      <w:tr w:rsidR="004730FB" w:rsidTr="004730FB">
        <w:trPr>
          <w:trHeight w:val="312"/>
        </w:trPr>
        <w:tc>
          <w:tcPr>
            <w:tcW w:w="5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b/>
                <w:bCs/>
              </w:rPr>
            </w:pPr>
            <w:r w:rsidRPr="008E3994">
              <w:rPr>
                <w:rFonts w:cs="Arial"/>
                <w:b/>
                <w:bCs/>
              </w:rPr>
              <w:t>Náklady Města (dotace na provoz)</w:t>
            </w:r>
          </w:p>
        </w:tc>
        <w:tc>
          <w:tcPr>
            <w:tcW w:w="3020" w:type="dxa"/>
            <w:tcBorders>
              <w:top w:val="single" w:sz="8" w:space="0" w:color="auto"/>
              <w:left w:val="nil"/>
              <w:bottom w:val="single" w:sz="4" w:space="0" w:color="auto"/>
              <w:right w:val="single" w:sz="8" w:space="0" w:color="auto"/>
            </w:tcBorders>
            <w:shd w:val="clear" w:color="auto" w:fill="auto"/>
            <w:noWrap/>
            <w:vAlign w:val="bottom"/>
            <w:hideMark/>
          </w:tcPr>
          <w:p w:rsidR="004730FB" w:rsidRPr="008E3994" w:rsidRDefault="004730FB" w:rsidP="004730FB">
            <w:pPr>
              <w:rPr>
                <w:rFonts w:cs="Arial"/>
              </w:rPr>
            </w:pPr>
            <w:r w:rsidRPr="008E3994">
              <w:rPr>
                <w:rFonts w:cs="Arial"/>
              </w:rPr>
              <w:t>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CELKOVÉ NÁKLADY</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26 533 149,40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ZPĚTNÝ ODBĚR</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-2 795 535,50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OBČANŮ</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-13 728 237,41   </w:t>
            </w:r>
          </w:p>
        </w:tc>
      </w:tr>
      <w:tr w:rsidR="004730FB" w:rsidTr="004730FB">
        <w:trPr>
          <w:trHeight w:val="312"/>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podnikatelů zapojených do systému</w:t>
            </w:r>
          </w:p>
        </w:tc>
        <w:tc>
          <w:tcPr>
            <w:tcW w:w="3020" w:type="dxa"/>
            <w:tcBorders>
              <w:top w:val="nil"/>
              <w:left w:val="nil"/>
              <w:bottom w:val="nil"/>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-19 464,00   </w:t>
            </w:r>
          </w:p>
        </w:tc>
      </w:tr>
      <w:tr w:rsidR="004730FB" w:rsidTr="004730FB">
        <w:trPr>
          <w:trHeight w:val="432"/>
        </w:trPr>
        <w:tc>
          <w:tcPr>
            <w:tcW w:w="5300" w:type="dxa"/>
            <w:tcBorders>
              <w:top w:val="nil"/>
              <w:left w:val="single" w:sz="8" w:space="0" w:color="auto"/>
              <w:bottom w:val="single" w:sz="8" w:space="0" w:color="auto"/>
              <w:right w:val="nil"/>
            </w:tcBorders>
            <w:shd w:val="clear" w:color="auto" w:fill="auto"/>
            <w:noWrap/>
            <w:vAlign w:val="bottom"/>
            <w:hideMark/>
          </w:tcPr>
          <w:p w:rsidR="004730FB" w:rsidRPr="008E3994" w:rsidRDefault="004730FB" w:rsidP="004730FB">
            <w:pPr>
              <w:rPr>
                <w:rFonts w:cs="Arial"/>
              </w:rPr>
            </w:pPr>
            <w:r w:rsidRPr="008E3994">
              <w:rPr>
                <w:rFonts w:cs="Arial"/>
              </w:rPr>
              <w:t>CELKEM:</w:t>
            </w:r>
          </w:p>
        </w:tc>
        <w:tc>
          <w:tcPr>
            <w:tcW w:w="3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0FB" w:rsidRPr="008E3994" w:rsidRDefault="004730FB" w:rsidP="004730FB">
            <w:pPr>
              <w:jc w:val="right"/>
              <w:rPr>
                <w:rFonts w:cs="Arial"/>
                <w:b/>
                <w:bCs/>
              </w:rPr>
            </w:pPr>
            <w:r w:rsidRPr="008E3994">
              <w:rPr>
                <w:rFonts w:cs="Arial"/>
                <w:b/>
                <w:bCs/>
              </w:rPr>
              <w:t xml:space="preserve">9 989 912,49   </w:t>
            </w:r>
          </w:p>
        </w:tc>
      </w:tr>
    </w:tbl>
    <w:p w:rsidR="004730FB" w:rsidRDefault="004730FB" w:rsidP="004730FB"/>
    <w:p w:rsidR="004730FB" w:rsidRDefault="004730FB" w:rsidP="004730FB"/>
    <w:p w:rsidR="004730FB" w:rsidRDefault="004730FB" w:rsidP="004730FB"/>
    <w:p w:rsidR="004730FB" w:rsidRDefault="004730FB" w:rsidP="004730FB">
      <w:pPr>
        <w:shd w:val="clear" w:color="auto" w:fill="EEECE1"/>
        <w:rPr>
          <w:rFonts w:ascii="Verdana" w:hAnsi="Verdana"/>
          <w:sz w:val="20"/>
          <w:szCs w:val="20"/>
        </w:rPr>
      </w:pPr>
      <w:r>
        <w:rPr>
          <w:rFonts w:ascii="Verdana" w:hAnsi="Verdana"/>
          <w:sz w:val="20"/>
          <w:szCs w:val="20"/>
        </w:rPr>
        <w:t>2017</w:t>
      </w:r>
    </w:p>
    <w:tbl>
      <w:tblPr>
        <w:tblW w:w="8320" w:type="dxa"/>
        <w:tblInd w:w="55" w:type="dxa"/>
        <w:tblCellMar>
          <w:left w:w="70" w:type="dxa"/>
          <w:right w:w="70" w:type="dxa"/>
        </w:tblCellMar>
        <w:tblLook w:val="04A0" w:firstRow="1" w:lastRow="0" w:firstColumn="1" w:lastColumn="0" w:noHBand="0" w:noVBand="1"/>
      </w:tblPr>
      <w:tblGrid>
        <w:gridCol w:w="5300"/>
        <w:gridCol w:w="3020"/>
      </w:tblGrid>
      <w:tr w:rsidR="004730FB" w:rsidTr="004730FB">
        <w:trPr>
          <w:trHeight w:val="312"/>
        </w:trPr>
        <w:tc>
          <w:tcPr>
            <w:tcW w:w="5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b/>
                <w:bCs/>
              </w:rPr>
            </w:pPr>
            <w:r w:rsidRPr="008E3994">
              <w:rPr>
                <w:rFonts w:cs="Arial"/>
                <w:b/>
                <w:bCs/>
              </w:rPr>
              <w:t>Náklady Města (dotace na provoz)</w:t>
            </w:r>
          </w:p>
        </w:tc>
        <w:tc>
          <w:tcPr>
            <w:tcW w:w="3020" w:type="dxa"/>
            <w:tcBorders>
              <w:top w:val="single" w:sz="8" w:space="0" w:color="auto"/>
              <w:left w:val="nil"/>
              <w:bottom w:val="single" w:sz="4" w:space="0" w:color="auto"/>
              <w:right w:val="single" w:sz="8" w:space="0" w:color="auto"/>
            </w:tcBorders>
            <w:shd w:val="clear" w:color="auto" w:fill="auto"/>
            <w:noWrap/>
            <w:vAlign w:val="bottom"/>
            <w:hideMark/>
          </w:tcPr>
          <w:p w:rsidR="004730FB" w:rsidRPr="008E3994" w:rsidRDefault="004730FB" w:rsidP="004730FB">
            <w:pPr>
              <w:rPr>
                <w:rFonts w:cs="Arial"/>
              </w:rPr>
            </w:pPr>
            <w:r w:rsidRPr="008E3994">
              <w:rPr>
                <w:rFonts w:cs="Arial"/>
              </w:rPr>
              <w:t>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CELKOVÉ NÁKLADY</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25 318 286,00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ZPĚTNÝ ODBĚR</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-2 599 766,00   </w:t>
            </w:r>
          </w:p>
        </w:tc>
      </w:tr>
      <w:tr w:rsidR="004730FB" w:rsidTr="004730FB">
        <w:trPr>
          <w:trHeight w:val="30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OBČANŮ</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-13 337 334,00   </w:t>
            </w:r>
          </w:p>
        </w:tc>
      </w:tr>
      <w:tr w:rsidR="004730FB" w:rsidTr="004730FB">
        <w:trPr>
          <w:trHeight w:val="312"/>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podnikatelů zapojených do systému</w:t>
            </w:r>
          </w:p>
        </w:tc>
        <w:tc>
          <w:tcPr>
            <w:tcW w:w="3020" w:type="dxa"/>
            <w:tcBorders>
              <w:top w:val="nil"/>
              <w:left w:val="nil"/>
              <w:bottom w:val="nil"/>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-23 917,00   </w:t>
            </w:r>
          </w:p>
        </w:tc>
      </w:tr>
      <w:tr w:rsidR="004730FB" w:rsidTr="004730FB">
        <w:trPr>
          <w:trHeight w:val="432"/>
        </w:trPr>
        <w:tc>
          <w:tcPr>
            <w:tcW w:w="5300" w:type="dxa"/>
            <w:tcBorders>
              <w:top w:val="nil"/>
              <w:left w:val="single" w:sz="8" w:space="0" w:color="auto"/>
              <w:bottom w:val="single" w:sz="8" w:space="0" w:color="auto"/>
              <w:right w:val="nil"/>
            </w:tcBorders>
            <w:shd w:val="clear" w:color="auto" w:fill="auto"/>
            <w:noWrap/>
            <w:vAlign w:val="bottom"/>
            <w:hideMark/>
          </w:tcPr>
          <w:p w:rsidR="004730FB" w:rsidRPr="008E3994" w:rsidRDefault="004730FB" w:rsidP="004730FB">
            <w:pPr>
              <w:rPr>
                <w:rFonts w:cs="Arial"/>
              </w:rPr>
            </w:pPr>
            <w:r w:rsidRPr="008E3994">
              <w:rPr>
                <w:rFonts w:cs="Arial"/>
              </w:rPr>
              <w:t>CELKEM:</w:t>
            </w:r>
          </w:p>
        </w:tc>
        <w:tc>
          <w:tcPr>
            <w:tcW w:w="3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0FB" w:rsidRPr="008E3994" w:rsidRDefault="004730FB" w:rsidP="004730FB">
            <w:pPr>
              <w:jc w:val="right"/>
              <w:rPr>
                <w:rFonts w:cs="Arial"/>
                <w:b/>
                <w:bCs/>
              </w:rPr>
            </w:pPr>
            <w:r w:rsidRPr="008E3994">
              <w:rPr>
                <w:rFonts w:cs="Arial"/>
                <w:b/>
                <w:bCs/>
              </w:rPr>
              <w:t xml:space="preserve">9 357 269,00   </w:t>
            </w:r>
          </w:p>
        </w:tc>
      </w:tr>
    </w:tbl>
    <w:p w:rsidR="004730FB" w:rsidRDefault="004730FB" w:rsidP="004730FB">
      <w:pPr>
        <w:rPr>
          <w:rFonts w:ascii="Verdana" w:hAnsi="Verdana"/>
          <w:sz w:val="20"/>
          <w:szCs w:val="20"/>
        </w:rPr>
      </w:pPr>
    </w:p>
    <w:p w:rsidR="004730FB" w:rsidRDefault="004730FB" w:rsidP="004730FB">
      <w:pPr>
        <w:shd w:val="clear" w:color="auto" w:fill="EEECE1"/>
        <w:rPr>
          <w:rFonts w:ascii="Verdana" w:hAnsi="Verdana"/>
          <w:sz w:val="20"/>
          <w:szCs w:val="20"/>
        </w:rPr>
      </w:pPr>
      <w:r>
        <w:rPr>
          <w:rFonts w:ascii="Verdana" w:hAnsi="Verdana"/>
          <w:sz w:val="20"/>
          <w:szCs w:val="20"/>
        </w:rPr>
        <w:t>2016</w:t>
      </w:r>
    </w:p>
    <w:tbl>
      <w:tblPr>
        <w:tblW w:w="8320" w:type="dxa"/>
        <w:tblInd w:w="55" w:type="dxa"/>
        <w:tblCellMar>
          <w:left w:w="70" w:type="dxa"/>
          <w:right w:w="70" w:type="dxa"/>
        </w:tblCellMar>
        <w:tblLook w:val="04A0" w:firstRow="1" w:lastRow="0" w:firstColumn="1" w:lastColumn="0" w:noHBand="0" w:noVBand="1"/>
      </w:tblPr>
      <w:tblGrid>
        <w:gridCol w:w="5300"/>
        <w:gridCol w:w="3020"/>
      </w:tblGrid>
      <w:tr w:rsidR="004730FB" w:rsidTr="004730FB">
        <w:trPr>
          <w:trHeight w:val="312"/>
        </w:trPr>
        <w:tc>
          <w:tcPr>
            <w:tcW w:w="5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b/>
                <w:bCs/>
              </w:rPr>
            </w:pPr>
            <w:r w:rsidRPr="008E3994">
              <w:rPr>
                <w:rFonts w:cs="Arial"/>
                <w:b/>
                <w:bCs/>
              </w:rPr>
              <w:t>Náklady Města (dotace na provoz)</w:t>
            </w:r>
          </w:p>
        </w:tc>
        <w:tc>
          <w:tcPr>
            <w:tcW w:w="3020" w:type="dxa"/>
            <w:tcBorders>
              <w:top w:val="single" w:sz="8" w:space="0" w:color="auto"/>
              <w:left w:val="nil"/>
              <w:bottom w:val="single" w:sz="4" w:space="0" w:color="auto"/>
              <w:right w:val="single" w:sz="8" w:space="0" w:color="auto"/>
            </w:tcBorders>
            <w:shd w:val="clear" w:color="auto" w:fill="auto"/>
            <w:noWrap/>
            <w:vAlign w:val="bottom"/>
            <w:hideMark/>
          </w:tcPr>
          <w:p w:rsidR="004730FB" w:rsidRPr="008E3994" w:rsidRDefault="004730FB" w:rsidP="004730FB">
            <w:pPr>
              <w:rPr>
                <w:rFonts w:cs="Arial"/>
              </w:rPr>
            </w:pPr>
            <w:r w:rsidRPr="008E3994">
              <w:rPr>
                <w:rFonts w:cs="Arial"/>
              </w:rPr>
              <w:t>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CELKOVÉ NÁKLADY</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25 587 847,00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ZPĚTNÝ ODBĚR</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-2 481 438,00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OBČANŮ</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-13 211 949,78   </w:t>
            </w:r>
          </w:p>
        </w:tc>
      </w:tr>
      <w:tr w:rsidR="004730FB" w:rsidTr="004730FB">
        <w:trPr>
          <w:trHeight w:val="312"/>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podnikatelů zapojených do systému</w:t>
            </w:r>
          </w:p>
        </w:tc>
        <w:tc>
          <w:tcPr>
            <w:tcW w:w="3020" w:type="dxa"/>
            <w:tcBorders>
              <w:top w:val="nil"/>
              <w:left w:val="nil"/>
              <w:bottom w:val="nil"/>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-18 963,00   </w:t>
            </w:r>
          </w:p>
        </w:tc>
      </w:tr>
      <w:tr w:rsidR="004730FB" w:rsidTr="004730FB">
        <w:trPr>
          <w:trHeight w:val="432"/>
        </w:trPr>
        <w:tc>
          <w:tcPr>
            <w:tcW w:w="5300" w:type="dxa"/>
            <w:tcBorders>
              <w:top w:val="nil"/>
              <w:left w:val="single" w:sz="8" w:space="0" w:color="auto"/>
              <w:bottom w:val="single" w:sz="8" w:space="0" w:color="auto"/>
              <w:right w:val="nil"/>
            </w:tcBorders>
            <w:shd w:val="clear" w:color="auto" w:fill="auto"/>
            <w:noWrap/>
            <w:vAlign w:val="bottom"/>
            <w:hideMark/>
          </w:tcPr>
          <w:p w:rsidR="004730FB" w:rsidRPr="008E3994" w:rsidRDefault="004730FB" w:rsidP="004730FB">
            <w:pPr>
              <w:rPr>
                <w:rFonts w:cs="Arial"/>
              </w:rPr>
            </w:pPr>
            <w:r w:rsidRPr="008E3994">
              <w:rPr>
                <w:rFonts w:cs="Arial"/>
              </w:rPr>
              <w:t>CELKEM:</w:t>
            </w:r>
          </w:p>
        </w:tc>
        <w:tc>
          <w:tcPr>
            <w:tcW w:w="3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0FB" w:rsidRPr="008E3994" w:rsidRDefault="004730FB" w:rsidP="004730FB">
            <w:pPr>
              <w:jc w:val="right"/>
              <w:rPr>
                <w:rFonts w:cs="Arial"/>
                <w:b/>
                <w:bCs/>
              </w:rPr>
            </w:pPr>
            <w:r w:rsidRPr="008E3994">
              <w:rPr>
                <w:rFonts w:cs="Arial"/>
                <w:b/>
                <w:bCs/>
              </w:rPr>
              <w:t xml:space="preserve">9 875 496,22   </w:t>
            </w:r>
          </w:p>
        </w:tc>
      </w:tr>
    </w:tbl>
    <w:p w:rsidR="004730FB" w:rsidRDefault="004730FB" w:rsidP="004730FB">
      <w:pPr>
        <w:rPr>
          <w:rFonts w:ascii="Verdana" w:hAnsi="Verdana"/>
          <w:sz w:val="20"/>
          <w:szCs w:val="20"/>
        </w:rPr>
      </w:pPr>
    </w:p>
    <w:p w:rsidR="004730FB" w:rsidRDefault="004730FB" w:rsidP="004730FB">
      <w:pPr>
        <w:shd w:val="clear" w:color="auto" w:fill="EEECE1"/>
        <w:rPr>
          <w:rFonts w:ascii="Verdana" w:hAnsi="Verdana"/>
          <w:sz w:val="20"/>
          <w:szCs w:val="20"/>
        </w:rPr>
      </w:pPr>
      <w:r>
        <w:rPr>
          <w:rFonts w:ascii="Verdana" w:hAnsi="Verdana"/>
          <w:sz w:val="20"/>
          <w:szCs w:val="20"/>
        </w:rPr>
        <w:t>2015</w:t>
      </w:r>
    </w:p>
    <w:tbl>
      <w:tblPr>
        <w:tblW w:w="8320" w:type="dxa"/>
        <w:tblInd w:w="55" w:type="dxa"/>
        <w:tblCellMar>
          <w:left w:w="70" w:type="dxa"/>
          <w:right w:w="70" w:type="dxa"/>
        </w:tblCellMar>
        <w:tblLook w:val="04A0" w:firstRow="1" w:lastRow="0" w:firstColumn="1" w:lastColumn="0" w:noHBand="0" w:noVBand="1"/>
      </w:tblPr>
      <w:tblGrid>
        <w:gridCol w:w="5300"/>
        <w:gridCol w:w="3020"/>
      </w:tblGrid>
      <w:tr w:rsidR="004730FB" w:rsidTr="004730FB">
        <w:trPr>
          <w:trHeight w:val="312"/>
        </w:trPr>
        <w:tc>
          <w:tcPr>
            <w:tcW w:w="5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b/>
                <w:bCs/>
              </w:rPr>
            </w:pPr>
            <w:r w:rsidRPr="008E3994">
              <w:rPr>
                <w:rFonts w:cs="Arial"/>
                <w:b/>
                <w:bCs/>
              </w:rPr>
              <w:t>Náklady Města (dotace na provoz)</w:t>
            </w:r>
          </w:p>
        </w:tc>
        <w:tc>
          <w:tcPr>
            <w:tcW w:w="3020" w:type="dxa"/>
            <w:tcBorders>
              <w:top w:val="single" w:sz="8" w:space="0" w:color="auto"/>
              <w:left w:val="nil"/>
              <w:bottom w:val="single" w:sz="4" w:space="0" w:color="auto"/>
              <w:right w:val="single" w:sz="8" w:space="0" w:color="auto"/>
            </w:tcBorders>
            <w:shd w:val="clear" w:color="auto" w:fill="auto"/>
            <w:noWrap/>
            <w:vAlign w:val="bottom"/>
            <w:hideMark/>
          </w:tcPr>
          <w:p w:rsidR="004730FB" w:rsidRPr="008E3994" w:rsidRDefault="004730FB" w:rsidP="004730FB">
            <w:pPr>
              <w:rPr>
                <w:rFonts w:cs="Arial"/>
              </w:rPr>
            </w:pPr>
            <w:r w:rsidRPr="008E3994">
              <w:rPr>
                <w:rFonts w:cs="Arial"/>
              </w:rPr>
              <w:t>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CELKOVÉ NÁKLADY</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25 155 658,31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ZPĚTNÝ ODBĚR</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-1 959 567,50   </w:t>
            </w:r>
          </w:p>
        </w:tc>
      </w:tr>
      <w:tr w:rsidR="004730FB" w:rsidTr="004730FB">
        <w:trPr>
          <w:trHeight w:val="300"/>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OBČANŮ</w:t>
            </w:r>
          </w:p>
        </w:tc>
        <w:tc>
          <w:tcPr>
            <w:tcW w:w="3020" w:type="dxa"/>
            <w:tcBorders>
              <w:top w:val="nil"/>
              <w:left w:val="nil"/>
              <w:bottom w:val="single" w:sz="4" w:space="0" w:color="auto"/>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-12 856 086,91   </w:t>
            </w:r>
          </w:p>
        </w:tc>
      </w:tr>
      <w:tr w:rsidR="004730FB" w:rsidTr="004730FB">
        <w:trPr>
          <w:trHeight w:val="312"/>
        </w:trPr>
        <w:tc>
          <w:tcPr>
            <w:tcW w:w="5300" w:type="dxa"/>
            <w:tcBorders>
              <w:top w:val="nil"/>
              <w:left w:val="single" w:sz="8" w:space="0" w:color="auto"/>
              <w:bottom w:val="single" w:sz="4" w:space="0" w:color="auto"/>
              <w:right w:val="single" w:sz="4" w:space="0" w:color="auto"/>
            </w:tcBorders>
            <w:shd w:val="clear" w:color="auto" w:fill="auto"/>
            <w:noWrap/>
            <w:vAlign w:val="bottom"/>
            <w:hideMark/>
          </w:tcPr>
          <w:p w:rsidR="004730FB" w:rsidRPr="008E3994" w:rsidRDefault="004730FB" w:rsidP="004730FB">
            <w:pPr>
              <w:rPr>
                <w:rFonts w:cs="Arial"/>
              </w:rPr>
            </w:pPr>
            <w:r w:rsidRPr="008E3994">
              <w:rPr>
                <w:rFonts w:cs="Arial"/>
              </w:rPr>
              <w:t>Příjem od podnikatelů zapojených do systému</w:t>
            </w:r>
          </w:p>
        </w:tc>
        <w:tc>
          <w:tcPr>
            <w:tcW w:w="3020" w:type="dxa"/>
            <w:tcBorders>
              <w:top w:val="nil"/>
              <w:left w:val="nil"/>
              <w:bottom w:val="nil"/>
              <w:right w:val="single" w:sz="8" w:space="0" w:color="auto"/>
            </w:tcBorders>
            <w:shd w:val="clear" w:color="auto" w:fill="auto"/>
            <w:noWrap/>
            <w:vAlign w:val="bottom"/>
            <w:hideMark/>
          </w:tcPr>
          <w:p w:rsidR="004730FB" w:rsidRPr="008E3994" w:rsidRDefault="004730FB" w:rsidP="004730FB">
            <w:pPr>
              <w:jc w:val="right"/>
              <w:rPr>
                <w:rFonts w:cs="Arial"/>
              </w:rPr>
            </w:pPr>
            <w:r w:rsidRPr="008E3994">
              <w:rPr>
                <w:rFonts w:cs="Arial"/>
              </w:rPr>
              <w:t xml:space="preserve">-10 308,00   </w:t>
            </w:r>
          </w:p>
        </w:tc>
      </w:tr>
      <w:tr w:rsidR="004730FB" w:rsidTr="004730FB">
        <w:trPr>
          <w:trHeight w:val="432"/>
        </w:trPr>
        <w:tc>
          <w:tcPr>
            <w:tcW w:w="5300" w:type="dxa"/>
            <w:tcBorders>
              <w:top w:val="nil"/>
              <w:left w:val="single" w:sz="8" w:space="0" w:color="auto"/>
              <w:bottom w:val="single" w:sz="8" w:space="0" w:color="auto"/>
              <w:right w:val="nil"/>
            </w:tcBorders>
            <w:shd w:val="clear" w:color="auto" w:fill="auto"/>
            <w:noWrap/>
            <w:vAlign w:val="bottom"/>
            <w:hideMark/>
          </w:tcPr>
          <w:p w:rsidR="004730FB" w:rsidRPr="008E3994" w:rsidRDefault="004730FB" w:rsidP="004730FB">
            <w:pPr>
              <w:rPr>
                <w:rFonts w:cs="Arial"/>
              </w:rPr>
            </w:pPr>
            <w:r w:rsidRPr="008E3994">
              <w:rPr>
                <w:rFonts w:cs="Arial"/>
              </w:rPr>
              <w:t>CELKEM:</w:t>
            </w:r>
          </w:p>
        </w:tc>
        <w:tc>
          <w:tcPr>
            <w:tcW w:w="3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0FB" w:rsidRPr="008E3994" w:rsidRDefault="004730FB" w:rsidP="004730FB">
            <w:pPr>
              <w:jc w:val="right"/>
              <w:rPr>
                <w:rFonts w:cs="Arial"/>
                <w:b/>
                <w:bCs/>
              </w:rPr>
            </w:pPr>
            <w:r w:rsidRPr="008E3994">
              <w:rPr>
                <w:rFonts w:cs="Arial"/>
                <w:b/>
                <w:bCs/>
              </w:rPr>
              <w:t xml:space="preserve">10 329 695,90   </w:t>
            </w:r>
          </w:p>
        </w:tc>
      </w:tr>
    </w:tbl>
    <w:p w:rsidR="004730FB" w:rsidRDefault="004730FB" w:rsidP="004730FB">
      <w:pPr>
        <w:rPr>
          <w:rFonts w:ascii="Verdana" w:hAnsi="Verdana"/>
          <w:sz w:val="20"/>
          <w:szCs w:val="20"/>
        </w:rPr>
      </w:pPr>
    </w:p>
    <w:p w:rsidR="004730FB" w:rsidRPr="006B64EB" w:rsidRDefault="004730FB" w:rsidP="004730FB">
      <w:pPr>
        <w:rPr>
          <w:rFonts w:ascii="Verdana" w:hAnsi="Verdana"/>
          <w:sz w:val="20"/>
          <w:szCs w:val="20"/>
        </w:rPr>
      </w:pPr>
      <w:r>
        <w:rPr>
          <w:rFonts w:ascii="Verdana" w:hAnsi="Verdana"/>
          <w:sz w:val="20"/>
          <w:szCs w:val="20"/>
        </w:rPr>
        <w:t>Pro porovnání uvádíme v</w:t>
      </w:r>
      <w:r w:rsidRPr="006B64EB">
        <w:rPr>
          <w:rFonts w:ascii="Verdana" w:hAnsi="Verdana"/>
          <w:sz w:val="20"/>
          <w:szCs w:val="20"/>
        </w:rPr>
        <w:t>ýš</w:t>
      </w:r>
      <w:r>
        <w:rPr>
          <w:rFonts w:ascii="Verdana" w:hAnsi="Verdana"/>
          <w:sz w:val="20"/>
          <w:szCs w:val="20"/>
        </w:rPr>
        <w:t>i</w:t>
      </w:r>
      <w:r w:rsidRPr="006B64EB">
        <w:rPr>
          <w:rFonts w:ascii="Verdana" w:hAnsi="Verdana"/>
          <w:sz w:val="20"/>
          <w:szCs w:val="20"/>
        </w:rPr>
        <w:t xml:space="preserve"> poplatku</w:t>
      </w:r>
      <w:r>
        <w:rPr>
          <w:rFonts w:ascii="Verdana" w:hAnsi="Verdana"/>
          <w:sz w:val="20"/>
          <w:szCs w:val="20"/>
        </w:rPr>
        <w:t xml:space="preserve"> za odpad podobně velkých měst</w:t>
      </w:r>
      <w:r w:rsidRPr="006B64EB">
        <w:rPr>
          <w:rFonts w:ascii="Verdana" w:hAnsi="Verdana"/>
          <w:sz w:val="20"/>
          <w:szCs w:val="20"/>
        </w:rPr>
        <w:t>:</w:t>
      </w:r>
    </w:p>
    <w:p w:rsidR="004730FB" w:rsidRPr="006B64EB" w:rsidRDefault="004730FB" w:rsidP="004730FB">
      <w:pPr>
        <w:rPr>
          <w:rFonts w:ascii="Verdana" w:hAnsi="Verdana"/>
          <w:sz w:val="20"/>
          <w:szCs w:val="20"/>
        </w:rPr>
      </w:pPr>
    </w:p>
    <w:tbl>
      <w:tblPr>
        <w:tblW w:w="9351" w:type="dxa"/>
        <w:tblInd w:w="75" w:type="dxa"/>
        <w:tblCellMar>
          <w:left w:w="70" w:type="dxa"/>
          <w:right w:w="70" w:type="dxa"/>
        </w:tblCellMar>
        <w:tblLook w:val="04A0" w:firstRow="1" w:lastRow="0" w:firstColumn="1" w:lastColumn="0" w:noHBand="0" w:noVBand="1"/>
      </w:tblPr>
      <w:tblGrid>
        <w:gridCol w:w="2405"/>
        <w:gridCol w:w="1701"/>
        <w:gridCol w:w="1418"/>
        <w:gridCol w:w="2273"/>
        <w:gridCol w:w="1559"/>
      </w:tblGrid>
      <w:tr w:rsidR="004730FB" w:rsidRPr="006B64EB" w:rsidTr="004730FB">
        <w:trPr>
          <w:trHeight w:val="94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lastRenderedPageBreak/>
              <w:t>Město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Počet obyvatel</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Poplatek stanovený vyhláškou</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Náklady na Kom. Odpad</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výše poplatku podle nákladů na 1 poplatníka</w:t>
            </w:r>
          </w:p>
        </w:tc>
      </w:tr>
      <w:tr w:rsidR="004730FB" w:rsidRPr="006B64EB" w:rsidTr="004730FB">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Beroun</w:t>
            </w:r>
          </w:p>
        </w:tc>
        <w:tc>
          <w:tcPr>
            <w:tcW w:w="1701"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19641</w:t>
            </w:r>
          </w:p>
        </w:tc>
        <w:tc>
          <w:tcPr>
            <w:tcW w:w="141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700</w:t>
            </w:r>
          </w:p>
        </w:tc>
        <w:tc>
          <w:tcPr>
            <w:tcW w:w="226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ind w:left="360" w:firstLine="283"/>
              <w:jc w:val="right"/>
              <w:rPr>
                <w:rFonts w:ascii="Verdana" w:hAnsi="Verdana" w:cs="Calibri"/>
                <w:color w:val="000000"/>
                <w:sz w:val="20"/>
                <w:szCs w:val="20"/>
              </w:rPr>
            </w:pPr>
            <w:r w:rsidRPr="006B64EB">
              <w:rPr>
                <w:rFonts w:ascii="Verdana" w:hAnsi="Verdana" w:cs="Calibri"/>
                <w:color w:val="000000"/>
                <w:sz w:val="20"/>
                <w:szCs w:val="20"/>
              </w:rPr>
              <w:t>18</w:t>
            </w:r>
            <w:r>
              <w:rPr>
                <w:rFonts w:ascii="Verdana" w:hAnsi="Verdana" w:cs="Calibri"/>
                <w:color w:val="000000"/>
                <w:sz w:val="20"/>
                <w:szCs w:val="20"/>
              </w:rPr>
              <w:t>.</w:t>
            </w:r>
            <w:r w:rsidRPr="006B64EB">
              <w:rPr>
                <w:rFonts w:ascii="Verdana" w:hAnsi="Verdana" w:cs="Calibri"/>
                <w:color w:val="000000"/>
                <w:sz w:val="20"/>
                <w:szCs w:val="20"/>
              </w:rPr>
              <w:t>140</w:t>
            </w:r>
            <w:r>
              <w:rPr>
                <w:rFonts w:ascii="Verdana" w:hAnsi="Verdana" w:cs="Calibri"/>
                <w:color w:val="000000"/>
                <w:sz w:val="20"/>
                <w:szCs w:val="20"/>
              </w:rPr>
              <w:t>.</w:t>
            </w:r>
            <w:r w:rsidRPr="006B64EB">
              <w:rPr>
                <w:rFonts w:ascii="Verdana" w:hAnsi="Verdana" w:cs="Calibri"/>
                <w:color w:val="000000"/>
                <w:sz w:val="20"/>
                <w:szCs w:val="20"/>
              </w:rPr>
              <w:t>000,00</w:t>
            </w:r>
          </w:p>
        </w:tc>
        <w:tc>
          <w:tcPr>
            <w:tcW w:w="1559"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851</w:t>
            </w:r>
          </w:p>
        </w:tc>
      </w:tr>
      <w:tr w:rsidR="004730FB" w:rsidRPr="006B64EB" w:rsidTr="004730FB">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Náchod</w:t>
            </w:r>
          </w:p>
        </w:tc>
        <w:tc>
          <w:tcPr>
            <w:tcW w:w="1701"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19897</w:t>
            </w:r>
          </w:p>
        </w:tc>
        <w:tc>
          <w:tcPr>
            <w:tcW w:w="141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900</w:t>
            </w:r>
          </w:p>
        </w:tc>
        <w:tc>
          <w:tcPr>
            <w:tcW w:w="226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14</w:t>
            </w:r>
            <w:r>
              <w:rPr>
                <w:rFonts w:ascii="Verdana" w:hAnsi="Verdana" w:cs="Calibri"/>
                <w:color w:val="000000"/>
                <w:sz w:val="20"/>
                <w:szCs w:val="20"/>
              </w:rPr>
              <w:t>.</w:t>
            </w:r>
            <w:r w:rsidRPr="006B64EB">
              <w:rPr>
                <w:rFonts w:ascii="Verdana" w:hAnsi="Verdana" w:cs="Calibri"/>
                <w:color w:val="000000"/>
                <w:sz w:val="20"/>
                <w:szCs w:val="20"/>
              </w:rPr>
              <w:t>104</w:t>
            </w:r>
            <w:r>
              <w:rPr>
                <w:rFonts w:ascii="Verdana" w:hAnsi="Verdana" w:cs="Calibri"/>
                <w:color w:val="000000"/>
                <w:sz w:val="20"/>
                <w:szCs w:val="20"/>
              </w:rPr>
              <w:t>.</w:t>
            </w:r>
            <w:r w:rsidRPr="006B64EB">
              <w:rPr>
                <w:rFonts w:ascii="Verdana" w:hAnsi="Verdana" w:cs="Calibri"/>
                <w:color w:val="000000"/>
                <w:sz w:val="20"/>
                <w:szCs w:val="20"/>
              </w:rPr>
              <w:t>939,00</w:t>
            </w:r>
          </w:p>
        </w:tc>
        <w:tc>
          <w:tcPr>
            <w:tcW w:w="1559"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688</w:t>
            </w:r>
          </w:p>
        </w:tc>
      </w:tr>
      <w:tr w:rsidR="004730FB" w:rsidRPr="006B64EB" w:rsidTr="004730FB">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Blansko</w:t>
            </w:r>
          </w:p>
        </w:tc>
        <w:tc>
          <w:tcPr>
            <w:tcW w:w="1701"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20484</w:t>
            </w:r>
          </w:p>
        </w:tc>
        <w:tc>
          <w:tcPr>
            <w:tcW w:w="141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540</w:t>
            </w:r>
          </w:p>
        </w:tc>
        <w:tc>
          <w:tcPr>
            <w:tcW w:w="226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11</w:t>
            </w:r>
            <w:r>
              <w:rPr>
                <w:rFonts w:ascii="Verdana" w:hAnsi="Verdana" w:cs="Calibri"/>
                <w:color w:val="000000"/>
                <w:sz w:val="20"/>
                <w:szCs w:val="20"/>
              </w:rPr>
              <w:t>.</w:t>
            </w:r>
            <w:r w:rsidRPr="006B64EB">
              <w:rPr>
                <w:rFonts w:ascii="Verdana" w:hAnsi="Verdana" w:cs="Calibri"/>
                <w:color w:val="000000"/>
                <w:sz w:val="20"/>
                <w:szCs w:val="20"/>
              </w:rPr>
              <w:t>698</w:t>
            </w:r>
            <w:r>
              <w:rPr>
                <w:rFonts w:ascii="Verdana" w:hAnsi="Verdana" w:cs="Calibri"/>
                <w:color w:val="000000"/>
                <w:sz w:val="20"/>
                <w:szCs w:val="20"/>
              </w:rPr>
              <w:t>.</w:t>
            </w:r>
            <w:r w:rsidRPr="006B64EB">
              <w:rPr>
                <w:rFonts w:ascii="Verdana" w:hAnsi="Verdana" w:cs="Calibri"/>
                <w:color w:val="000000"/>
                <w:sz w:val="20"/>
                <w:szCs w:val="20"/>
              </w:rPr>
              <w:t>122,00</w:t>
            </w:r>
          </w:p>
        </w:tc>
        <w:tc>
          <w:tcPr>
            <w:tcW w:w="1559"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524</w:t>
            </w:r>
          </w:p>
        </w:tc>
      </w:tr>
      <w:tr w:rsidR="004730FB" w:rsidRPr="006B64EB" w:rsidTr="004730FB">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Žďár nad Sázavou</w:t>
            </w:r>
          </w:p>
        </w:tc>
        <w:tc>
          <w:tcPr>
            <w:tcW w:w="1701"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20717</w:t>
            </w:r>
          </w:p>
        </w:tc>
        <w:tc>
          <w:tcPr>
            <w:tcW w:w="141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730</w:t>
            </w:r>
          </w:p>
        </w:tc>
        <w:tc>
          <w:tcPr>
            <w:tcW w:w="226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10</w:t>
            </w:r>
            <w:r>
              <w:rPr>
                <w:rFonts w:ascii="Verdana" w:hAnsi="Verdana" w:cs="Calibri"/>
                <w:color w:val="000000"/>
                <w:sz w:val="20"/>
                <w:szCs w:val="20"/>
              </w:rPr>
              <w:t>.</w:t>
            </w:r>
            <w:r w:rsidRPr="006B64EB">
              <w:rPr>
                <w:rFonts w:ascii="Verdana" w:hAnsi="Verdana" w:cs="Calibri"/>
                <w:color w:val="000000"/>
                <w:sz w:val="20"/>
                <w:szCs w:val="20"/>
              </w:rPr>
              <w:t>319</w:t>
            </w:r>
            <w:r>
              <w:rPr>
                <w:rFonts w:ascii="Verdana" w:hAnsi="Verdana" w:cs="Calibri"/>
                <w:color w:val="000000"/>
                <w:sz w:val="20"/>
                <w:szCs w:val="20"/>
              </w:rPr>
              <w:t>.</w:t>
            </w:r>
            <w:r w:rsidRPr="006B64EB">
              <w:rPr>
                <w:rFonts w:ascii="Verdana" w:hAnsi="Verdana" w:cs="Calibri"/>
                <w:color w:val="000000"/>
                <w:sz w:val="20"/>
                <w:szCs w:val="20"/>
              </w:rPr>
              <w:t>056,00</w:t>
            </w:r>
          </w:p>
        </w:tc>
        <w:tc>
          <w:tcPr>
            <w:tcW w:w="1559"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485,57</w:t>
            </w:r>
          </w:p>
        </w:tc>
      </w:tr>
      <w:tr w:rsidR="004730FB" w:rsidRPr="006B64EB" w:rsidTr="004730FB">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Jindřichův Hradec</w:t>
            </w:r>
          </w:p>
        </w:tc>
        <w:tc>
          <w:tcPr>
            <w:tcW w:w="1701"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21419</w:t>
            </w:r>
          </w:p>
        </w:tc>
        <w:tc>
          <w:tcPr>
            <w:tcW w:w="141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500</w:t>
            </w:r>
          </w:p>
        </w:tc>
        <w:tc>
          <w:tcPr>
            <w:tcW w:w="226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7</w:t>
            </w:r>
            <w:r>
              <w:rPr>
                <w:rFonts w:ascii="Verdana" w:hAnsi="Verdana" w:cs="Calibri"/>
                <w:color w:val="000000"/>
                <w:sz w:val="20"/>
                <w:szCs w:val="20"/>
              </w:rPr>
              <w:t>.</w:t>
            </w:r>
            <w:r w:rsidRPr="006B64EB">
              <w:rPr>
                <w:rFonts w:ascii="Verdana" w:hAnsi="Verdana" w:cs="Calibri"/>
                <w:color w:val="000000"/>
                <w:sz w:val="20"/>
                <w:szCs w:val="20"/>
              </w:rPr>
              <w:t>302</w:t>
            </w:r>
            <w:r>
              <w:rPr>
                <w:rFonts w:ascii="Verdana" w:hAnsi="Verdana" w:cs="Calibri"/>
                <w:color w:val="000000"/>
                <w:sz w:val="20"/>
                <w:szCs w:val="20"/>
              </w:rPr>
              <w:t>.</w:t>
            </w:r>
            <w:r w:rsidRPr="006B64EB">
              <w:rPr>
                <w:rFonts w:ascii="Verdana" w:hAnsi="Verdana" w:cs="Calibri"/>
                <w:color w:val="000000"/>
                <w:sz w:val="20"/>
                <w:szCs w:val="20"/>
              </w:rPr>
              <w:t>596,00</w:t>
            </w:r>
          </w:p>
        </w:tc>
        <w:tc>
          <w:tcPr>
            <w:tcW w:w="1559"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323</w:t>
            </w:r>
          </w:p>
        </w:tc>
      </w:tr>
      <w:tr w:rsidR="004730FB" w:rsidRPr="006B64EB" w:rsidTr="004730FB">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Chrudim</w:t>
            </w:r>
          </w:p>
        </w:tc>
        <w:tc>
          <w:tcPr>
            <w:tcW w:w="1701"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23168</w:t>
            </w:r>
          </w:p>
        </w:tc>
        <w:tc>
          <w:tcPr>
            <w:tcW w:w="141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600</w:t>
            </w:r>
          </w:p>
        </w:tc>
        <w:tc>
          <w:tcPr>
            <w:tcW w:w="2268"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11</w:t>
            </w:r>
            <w:r>
              <w:rPr>
                <w:rFonts w:ascii="Verdana" w:hAnsi="Verdana" w:cs="Calibri"/>
                <w:color w:val="000000"/>
                <w:sz w:val="20"/>
                <w:szCs w:val="20"/>
              </w:rPr>
              <w:t>.</w:t>
            </w:r>
            <w:r w:rsidRPr="006B64EB">
              <w:rPr>
                <w:rFonts w:ascii="Verdana" w:hAnsi="Verdana" w:cs="Calibri"/>
                <w:color w:val="000000"/>
                <w:sz w:val="20"/>
                <w:szCs w:val="20"/>
              </w:rPr>
              <w:t>779</w:t>
            </w:r>
            <w:r>
              <w:rPr>
                <w:rFonts w:ascii="Verdana" w:hAnsi="Verdana" w:cs="Calibri"/>
                <w:color w:val="000000"/>
                <w:sz w:val="20"/>
                <w:szCs w:val="20"/>
              </w:rPr>
              <w:t>.</w:t>
            </w:r>
            <w:r w:rsidRPr="006B64EB">
              <w:rPr>
                <w:rFonts w:ascii="Verdana" w:hAnsi="Verdana" w:cs="Calibri"/>
                <w:color w:val="000000"/>
                <w:sz w:val="20"/>
                <w:szCs w:val="20"/>
              </w:rPr>
              <w:t>200,00</w:t>
            </w:r>
          </w:p>
        </w:tc>
        <w:tc>
          <w:tcPr>
            <w:tcW w:w="1559" w:type="dxa"/>
            <w:tcBorders>
              <w:top w:val="nil"/>
              <w:left w:val="nil"/>
              <w:bottom w:val="single" w:sz="4" w:space="0" w:color="auto"/>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497,05</w:t>
            </w:r>
          </w:p>
        </w:tc>
      </w:tr>
      <w:tr w:rsidR="004730FB" w:rsidRPr="006B64EB" w:rsidTr="004730FB">
        <w:trPr>
          <w:trHeight w:val="300"/>
        </w:trPr>
        <w:tc>
          <w:tcPr>
            <w:tcW w:w="2405" w:type="dxa"/>
            <w:tcBorders>
              <w:top w:val="nil"/>
              <w:left w:val="single" w:sz="4" w:space="0" w:color="auto"/>
              <w:bottom w:val="nil"/>
              <w:right w:val="single" w:sz="4" w:space="0" w:color="auto"/>
            </w:tcBorders>
            <w:shd w:val="clear" w:color="auto" w:fill="auto"/>
            <w:noWrap/>
            <w:vAlign w:val="bottom"/>
            <w:hideMark/>
          </w:tcPr>
          <w:p w:rsidR="004730FB" w:rsidRPr="006B64EB" w:rsidRDefault="004730FB" w:rsidP="004730FB">
            <w:pPr>
              <w:rPr>
                <w:rFonts w:ascii="Verdana" w:hAnsi="Verdana" w:cs="Calibri"/>
                <w:color w:val="000000"/>
                <w:sz w:val="20"/>
                <w:szCs w:val="20"/>
              </w:rPr>
            </w:pPr>
            <w:r w:rsidRPr="006B64EB">
              <w:rPr>
                <w:rFonts w:ascii="Verdana" w:hAnsi="Verdana" w:cs="Calibri"/>
                <w:color w:val="000000"/>
                <w:sz w:val="20"/>
                <w:szCs w:val="20"/>
              </w:rPr>
              <w:t>Havlíčkův Brod</w:t>
            </w:r>
          </w:p>
        </w:tc>
        <w:tc>
          <w:tcPr>
            <w:tcW w:w="1701" w:type="dxa"/>
            <w:tcBorders>
              <w:top w:val="nil"/>
              <w:left w:val="nil"/>
              <w:bottom w:val="nil"/>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23442</w:t>
            </w:r>
          </w:p>
        </w:tc>
        <w:tc>
          <w:tcPr>
            <w:tcW w:w="1418" w:type="dxa"/>
            <w:tcBorders>
              <w:top w:val="nil"/>
              <w:left w:val="nil"/>
              <w:bottom w:val="nil"/>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720</w:t>
            </w:r>
          </w:p>
        </w:tc>
        <w:tc>
          <w:tcPr>
            <w:tcW w:w="2268" w:type="dxa"/>
            <w:tcBorders>
              <w:top w:val="nil"/>
              <w:left w:val="nil"/>
              <w:bottom w:val="nil"/>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18</w:t>
            </w:r>
            <w:r>
              <w:rPr>
                <w:rFonts w:ascii="Verdana" w:hAnsi="Verdana" w:cs="Calibri"/>
                <w:color w:val="000000"/>
                <w:sz w:val="20"/>
                <w:szCs w:val="20"/>
              </w:rPr>
              <w:t>.</w:t>
            </w:r>
            <w:r w:rsidRPr="006B64EB">
              <w:rPr>
                <w:rFonts w:ascii="Verdana" w:hAnsi="Verdana" w:cs="Calibri"/>
                <w:color w:val="000000"/>
                <w:sz w:val="20"/>
                <w:szCs w:val="20"/>
              </w:rPr>
              <w:t>108</w:t>
            </w:r>
            <w:r>
              <w:rPr>
                <w:rFonts w:ascii="Verdana" w:hAnsi="Verdana" w:cs="Calibri"/>
                <w:color w:val="000000"/>
                <w:sz w:val="20"/>
                <w:szCs w:val="20"/>
              </w:rPr>
              <w:t>.</w:t>
            </w:r>
            <w:r w:rsidRPr="006B64EB">
              <w:rPr>
                <w:rFonts w:ascii="Verdana" w:hAnsi="Verdana" w:cs="Calibri"/>
                <w:color w:val="000000"/>
                <w:sz w:val="20"/>
                <w:szCs w:val="20"/>
              </w:rPr>
              <w:t>520,60</w:t>
            </w:r>
          </w:p>
        </w:tc>
        <w:tc>
          <w:tcPr>
            <w:tcW w:w="1559" w:type="dxa"/>
            <w:tcBorders>
              <w:top w:val="nil"/>
              <w:left w:val="nil"/>
              <w:bottom w:val="nil"/>
              <w:right w:val="single" w:sz="4" w:space="0" w:color="auto"/>
            </w:tcBorders>
            <w:shd w:val="clear" w:color="auto" w:fill="auto"/>
            <w:noWrap/>
            <w:vAlign w:val="bottom"/>
            <w:hideMark/>
          </w:tcPr>
          <w:p w:rsidR="004730FB" w:rsidRPr="006B64EB" w:rsidRDefault="004730FB" w:rsidP="004730FB">
            <w:pPr>
              <w:jc w:val="right"/>
              <w:rPr>
                <w:rFonts w:ascii="Verdana" w:hAnsi="Verdana" w:cs="Calibri"/>
                <w:color w:val="000000"/>
                <w:sz w:val="20"/>
                <w:szCs w:val="20"/>
              </w:rPr>
            </w:pPr>
            <w:r w:rsidRPr="006B64EB">
              <w:rPr>
                <w:rFonts w:ascii="Verdana" w:hAnsi="Verdana" w:cs="Calibri"/>
                <w:color w:val="000000"/>
                <w:sz w:val="20"/>
                <w:szCs w:val="20"/>
              </w:rPr>
              <w:t>742,34</w:t>
            </w:r>
          </w:p>
        </w:tc>
      </w:tr>
      <w:tr w:rsidR="004730FB" w:rsidRPr="006B64EB" w:rsidTr="004730FB">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rsidR="004730FB" w:rsidRPr="006B64EB" w:rsidRDefault="004730FB" w:rsidP="004730FB">
            <w:pPr>
              <w:rPr>
                <w:rFonts w:ascii="Verdana" w:hAnsi="Verdana" w:cs="Calibri"/>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4730FB" w:rsidRPr="006B64EB" w:rsidRDefault="004730FB" w:rsidP="004730FB">
            <w:pPr>
              <w:jc w:val="right"/>
              <w:rPr>
                <w:rFonts w:ascii="Verdana" w:hAnsi="Verdana" w:cs="Calibri"/>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4730FB" w:rsidRPr="006B64EB" w:rsidRDefault="004730FB" w:rsidP="004730FB">
            <w:pPr>
              <w:jc w:val="right"/>
              <w:rPr>
                <w:rFonts w:ascii="Verdana" w:hAnsi="Verdana" w:cs="Calibri"/>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tcPr>
          <w:p w:rsidR="004730FB" w:rsidRPr="006B64EB" w:rsidRDefault="004730FB" w:rsidP="004730FB">
            <w:pPr>
              <w:jc w:val="right"/>
              <w:rPr>
                <w:rFonts w:ascii="Verdana" w:hAnsi="Verdana"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4730FB" w:rsidRPr="006B64EB" w:rsidRDefault="004730FB" w:rsidP="004730FB">
            <w:pPr>
              <w:jc w:val="right"/>
              <w:rPr>
                <w:rFonts w:ascii="Verdana" w:hAnsi="Verdana" w:cs="Calibri"/>
                <w:color w:val="000000"/>
                <w:sz w:val="20"/>
                <w:szCs w:val="20"/>
              </w:rPr>
            </w:pPr>
          </w:p>
        </w:tc>
      </w:tr>
    </w:tbl>
    <w:p w:rsidR="00EB31D5" w:rsidRDefault="00EB31D5" w:rsidP="00127F90">
      <w:pPr>
        <w:spacing w:line="276" w:lineRule="auto"/>
        <w:jc w:val="both"/>
        <w:rPr>
          <w:rFonts w:ascii="Verdana" w:hAnsi="Verdana"/>
          <w:b/>
          <w:sz w:val="20"/>
          <w:szCs w:val="20"/>
          <w:u w:val="single"/>
        </w:rPr>
      </w:pPr>
    </w:p>
    <w:p w:rsidR="004730FB" w:rsidRPr="003C7F7C" w:rsidRDefault="004730FB" w:rsidP="004730FB">
      <w:pPr>
        <w:jc w:val="both"/>
        <w:rPr>
          <w:rFonts w:ascii="Verdana" w:hAnsi="Verdana"/>
          <w:sz w:val="20"/>
          <w:szCs w:val="20"/>
        </w:rPr>
      </w:pPr>
      <w:r w:rsidRPr="003C7F7C">
        <w:rPr>
          <w:rFonts w:ascii="Verdana" w:hAnsi="Verdana"/>
          <w:sz w:val="20"/>
          <w:szCs w:val="20"/>
        </w:rPr>
        <w:t xml:space="preserve">Výpočet poplatku nemusel nutně být ve výši nákladů. Podle platné právní úpravy mohl být poplatek i vyšší. </w:t>
      </w:r>
    </w:p>
    <w:p w:rsidR="004730FB" w:rsidRDefault="004730FB" w:rsidP="00127F90">
      <w:pPr>
        <w:spacing w:line="276" w:lineRule="auto"/>
        <w:jc w:val="both"/>
        <w:rPr>
          <w:rFonts w:ascii="Verdana" w:hAnsi="Verdana"/>
          <w:b/>
          <w:sz w:val="20"/>
          <w:szCs w:val="20"/>
          <w:u w:val="single"/>
        </w:rPr>
      </w:pPr>
    </w:p>
    <w:p w:rsidR="004730FB" w:rsidRPr="003C7F7C" w:rsidRDefault="004730FB" w:rsidP="004730FB">
      <w:pPr>
        <w:tabs>
          <w:tab w:val="left" w:pos="3261"/>
        </w:tabs>
        <w:jc w:val="both"/>
        <w:rPr>
          <w:rFonts w:ascii="Verdana" w:hAnsi="Verdana"/>
          <w:sz w:val="20"/>
          <w:szCs w:val="20"/>
        </w:rPr>
      </w:pPr>
      <w:r w:rsidRPr="003C7F7C">
        <w:rPr>
          <w:rFonts w:ascii="Verdana" w:hAnsi="Verdana"/>
          <w:sz w:val="20"/>
          <w:szCs w:val="20"/>
        </w:rPr>
        <w:t>Poplatek se stanovil podle</w:t>
      </w:r>
      <w:r>
        <w:rPr>
          <w:rFonts w:ascii="Verdana" w:hAnsi="Verdana"/>
          <w:sz w:val="20"/>
          <w:szCs w:val="20"/>
        </w:rPr>
        <w:tab/>
      </w:r>
      <w:r w:rsidRPr="003C7F7C">
        <w:rPr>
          <w:rFonts w:ascii="Verdana" w:hAnsi="Verdana"/>
          <w:sz w:val="20"/>
          <w:szCs w:val="20"/>
        </w:rPr>
        <w:t xml:space="preserve">a) pevné částky až 250,- Kč </w:t>
      </w:r>
    </w:p>
    <w:p w:rsidR="004730FB" w:rsidRPr="003C7F7C" w:rsidRDefault="004730FB" w:rsidP="004730FB">
      <w:pPr>
        <w:tabs>
          <w:tab w:val="left" w:pos="3261"/>
        </w:tabs>
        <w:jc w:val="both"/>
        <w:rPr>
          <w:rFonts w:ascii="Verdana" w:hAnsi="Verdana"/>
          <w:sz w:val="20"/>
          <w:szCs w:val="20"/>
        </w:rPr>
      </w:pPr>
      <w:r w:rsidRPr="003C7F7C">
        <w:rPr>
          <w:rFonts w:ascii="Verdana" w:hAnsi="Verdana"/>
          <w:sz w:val="20"/>
          <w:szCs w:val="20"/>
        </w:rPr>
        <w:t xml:space="preserve">                                      </w:t>
      </w:r>
      <w:r>
        <w:rPr>
          <w:rFonts w:ascii="Verdana" w:hAnsi="Verdana"/>
          <w:sz w:val="20"/>
          <w:szCs w:val="20"/>
        </w:rPr>
        <w:tab/>
      </w:r>
      <w:r w:rsidRPr="003C7F7C">
        <w:rPr>
          <w:rFonts w:ascii="Verdana" w:hAnsi="Verdana"/>
          <w:sz w:val="20"/>
          <w:szCs w:val="20"/>
        </w:rPr>
        <w:t xml:space="preserve">b) částky z výpočtu nákladů, které mohly být až 750,- Kč. </w:t>
      </w:r>
    </w:p>
    <w:p w:rsidR="004730FB" w:rsidRPr="003C7F7C" w:rsidRDefault="004730FB" w:rsidP="004730FB">
      <w:pPr>
        <w:jc w:val="both"/>
        <w:rPr>
          <w:rFonts w:ascii="Verdana" w:hAnsi="Verdana"/>
          <w:sz w:val="20"/>
          <w:szCs w:val="20"/>
        </w:rPr>
      </w:pPr>
      <w:r w:rsidRPr="003C7F7C">
        <w:rPr>
          <w:rFonts w:ascii="Verdana" w:hAnsi="Verdana"/>
          <w:sz w:val="20"/>
          <w:szCs w:val="20"/>
        </w:rPr>
        <w:tab/>
      </w:r>
      <w:r w:rsidRPr="003C7F7C">
        <w:rPr>
          <w:rFonts w:ascii="Verdana" w:hAnsi="Verdana"/>
          <w:sz w:val="20"/>
          <w:szCs w:val="20"/>
        </w:rPr>
        <w:tab/>
      </w:r>
    </w:p>
    <w:p w:rsidR="004730FB" w:rsidRPr="003C7F7C" w:rsidRDefault="004730FB" w:rsidP="004730FB">
      <w:pPr>
        <w:jc w:val="both"/>
        <w:rPr>
          <w:rFonts w:ascii="Verdana" w:hAnsi="Verdana"/>
          <w:sz w:val="20"/>
          <w:szCs w:val="20"/>
        </w:rPr>
      </w:pPr>
      <w:r w:rsidRPr="003C7F7C">
        <w:rPr>
          <w:rFonts w:ascii="Verdana" w:hAnsi="Verdana"/>
          <w:sz w:val="20"/>
          <w:szCs w:val="20"/>
        </w:rPr>
        <w:t>Celkem mohla obec vybírat poplatek za odpad až 1.000,- Kč.</w:t>
      </w:r>
    </w:p>
    <w:p w:rsidR="004730FB" w:rsidRPr="003C7F7C" w:rsidRDefault="004730FB" w:rsidP="004730FB">
      <w:pPr>
        <w:jc w:val="both"/>
        <w:rPr>
          <w:rFonts w:ascii="Verdana" w:hAnsi="Verdana"/>
          <w:sz w:val="20"/>
          <w:szCs w:val="20"/>
        </w:rPr>
      </w:pPr>
    </w:p>
    <w:p w:rsidR="004730FB" w:rsidRPr="003C7F7C" w:rsidRDefault="004730FB" w:rsidP="004730FB">
      <w:pPr>
        <w:jc w:val="both"/>
        <w:rPr>
          <w:rFonts w:ascii="Verdana" w:hAnsi="Verdana"/>
          <w:b/>
          <w:sz w:val="20"/>
          <w:szCs w:val="20"/>
        </w:rPr>
      </w:pPr>
      <w:r w:rsidRPr="003C7F7C">
        <w:rPr>
          <w:rFonts w:ascii="Verdana" w:hAnsi="Verdana"/>
          <w:b/>
          <w:sz w:val="20"/>
          <w:szCs w:val="20"/>
        </w:rPr>
        <w:t>Poplatky v Kutné Hoře</w:t>
      </w:r>
    </w:p>
    <w:p w:rsidR="004730FB" w:rsidRPr="003C7F7C" w:rsidRDefault="004730FB" w:rsidP="004730FB">
      <w:pPr>
        <w:jc w:val="both"/>
        <w:rPr>
          <w:rFonts w:ascii="Verdana" w:hAnsi="Verdana"/>
          <w:sz w:val="20"/>
          <w:szCs w:val="20"/>
        </w:rPr>
      </w:pPr>
    </w:p>
    <w:p w:rsidR="004730FB" w:rsidRPr="003C7F7C" w:rsidRDefault="004730FB" w:rsidP="004730FB">
      <w:pPr>
        <w:jc w:val="both"/>
        <w:rPr>
          <w:rFonts w:ascii="Verdana" w:hAnsi="Verdana"/>
          <w:sz w:val="20"/>
          <w:szCs w:val="20"/>
        </w:rPr>
      </w:pPr>
      <w:r w:rsidRPr="003C7F7C">
        <w:rPr>
          <w:rFonts w:ascii="Verdana" w:hAnsi="Verdana"/>
          <w:sz w:val="20"/>
          <w:szCs w:val="20"/>
        </w:rPr>
        <w:t xml:space="preserve">Poplatek 650,- Kč byl v Kutné Hoře stanoven poprvé pro rok 2013. </w:t>
      </w:r>
    </w:p>
    <w:p w:rsidR="004730FB" w:rsidRPr="003C7F7C" w:rsidRDefault="004730FB" w:rsidP="004730FB">
      <w:pPr>
        <w:jc w:val="both"/>
        <w:rPr>
          <w:rFonts w:ascii="Verdana" w:hAnsi="Verdana"/>
          <w:b/>
          <w:sz w:val="20"/>
          <w:szCs w:val="20"/>
        </w:rPr>
      </w:pPr>
      <w:r w:rsidRPr="003C7F7C">
        <w:rPr>
          <w:rFonts w:ascii="Verdana" w:hAnsi="Verdana"/>
          <w:sz w:val="20"/>
          <w:szCs w:val="20"/>
        </w:rPr>
        <w:t xml:space="preserve">Tehdy činily náklady na komunální odpad </w:t>
      </w:r>
      <w:r w:rsidRPr="003C7F7C">
        <w:rPr>
          <w:rFonts w:ascii="Verdana" w:hAnsi="Verdana"/>
          <w:b/>
          <w:sz w:val="20"/>
          <w:szCs w:val="20"/>
        </w:rPr>
        <w:t xml:space="preserve">16.677.743,46 Kč: počet poplatníků  21.151   =    náklady na jednoho poplatníka </w:t>
      </w:r>
      <w:r w:rsidRPr="003C7F7C">
        <w:rPr>
          <w:rFonts w:ascii="Verdana" w:hAnsi="Verdana"/>
          <w:b/>
          <w:sz w:val="20"/>
          <w:szCs w:val="20"/>
          <w:u w:val="single"/>
        </w:rPr>
        <w:t xml:space="preserve">788,50 Kč. </w:t>
      </w:r>
    </w:p>
    <w:p w:rsidR="004730FB" w:rsidRDefault="004730FB" w:rsidP="004730FB">
      <w:pPr>
        <w:jc w:val="both"/>
        <w:rPr>
          <w:rFonts w:ascii="Verdana" w:hAnsi="Verdana"/>
          <w:sz w:val="20"/>
          <w:szCs w:val="20"/>
        </w:rPr>
      </w:pPr>
    </w:p>
    <w:p w:rsidR="004730FB" w:rsidRPr="003C7F7C" w:rsidRDefault="004730FB" w:rsidP="004730FB">
      <w:pPr>
        <w:jc w:val="both"/>
        <w:rPr>
          <w:rFonts w:ascii="Verdana" w:hAnsi="Verdana"/>
          <w:b/>
          <w:sz w:val="20"/>
          <w:szCs w:val="20"/>
        </w:rPr>
      </w:pPr>
      <w:r w:rsidRPr="003C7F7C">
        <w:rPr>
          <w:rFonts w:ascii="Verdana" w:hAnsi="Verdana"/>
          <w:sz w:val="20"/>
          <w:szCs w:val="20"/>
        </w:rPr>
        <w:t xml:space="preserve">V roce 2020 činily náklady za komunální odpad </w:t>
      </w:r>
      <w:r w:rsidRPr="003C7F7C">
        <w:rPr>
          <w:rFonts w:ascii="Verdana" w:hAnsi="Verdana"/>
          <w:b/>
          <w:sz w:val="20"/>
          <w:szCs w:val="20"/>
        </w:rPr>
        <w:t xml:space="preserve">16.543.504,52 Kč: počet poplatníků 21.454 náklady na jednoho poplatníka </w:t>
      </w:r>
      <w:r w:rsidRPr="003C7F7C">
        <w:rPr>
          <w:rFonts w:ascii="Verdana" w:hAnsi="Verdana"/>
          <w:b/>
          <w:sz w:val="20"/>
          <w:szCs w:val="20"/>
          <w:u w:val="single"/>
        </w:rPr>
        <w:t>771,12 Kč.</w:t>
      </w:r>
    </w:p>
    <w:p w:rsidR="004730FB" w:rsidRDefault="004730FB" w:rsidP="004730FB">
      <w:pPr>
        <w:jc w:val="both"/>
        <w:rPr>
          <w:rFonts w:ascii="Verdana" w:hAnsi="Verdana"/>
          <w:sz w:val="20"/>
          <w:szCs w:val="20"/>
        </w:rPr>
      </w:pPr>
    </w:p>
    <w:p w:rsidR="004730FB" w:rsidRPr="006B64EB" w:rsidRDefault="004730FB" w:rsidP="004730FB">
      <w:pPr>
        <w:jc w:val="both"/>
        <w:rPr>
          <w:rFonts w:ascii="Verdana" w:hAnsi="Verdana"/>
          <w:sz w:val="20"/>
          <w:szCs w:val="20"/>
        </w:rPr>
      </w:pPr>
      <w:r w:rsidRPr="003C7F7C">
        <w:rPr>
          <w:rFonts w:ascii="Verdana" w:hAnsi="Verdana"/>
          <w:sz w:val="20"/>
          <w:szCs w:val="20"/>
        </w:rPr>
        <w:t xml:space="preserve">Každá pohledávka z místních poplatků je Oddělením daní a poplatků (dále ODP) v následujícím roce vyměřena. Ročně se vystavuje cca 2000 upozornění na nezaplacení a cca 1800 platebních výměrů.  Následně ODP zjišťuje zaměstnavatele dlužníků, jejich účty a případné přeplatky na Finančním úřadě. Pokud </w:t>
      </w:r>
      <w:r>
        <w:rPr>
          <w:rFonts w:ascii="Verdana" w:hAnsi="Verdana"/>
          <w:sz w:val="20"/>
          <w:szCs w:val="20"/>
        </w:rPr>
        <w:t>není zjištěn</w:t>
      </w:r>
      <w:r w:rsidRPr="003C7F7C">
        <w:rPr>
          <w:rFonts w:ascii="Verdana" w:hAnsi="Verdana"/>
          <w:sz w:val="20"/>
          <w:szCs w:val="20"/>
        </w:rPr>
        <w:t xml:space="preserve"> žádný majetek, dochází k předání exekutorům. U exekutorů jsou v tuto chvíli pohledávky od </w:t>
      </w:r>
      <w:r>
        <w:rPr>
          <w:rFonts w:ascii="Verdana" w:hAnsi="Verdana"/>
          <w:sz w:val="20"/>
          <w:szCs w:val="20"/>
        </w:rPr>
        <w:t>roku 2002 do roku 2020 včetně (</w:t>
      </w:r>
      <w:r w:rsidRPr="003C7F7C">
        <w:rPr>
          <w:rFonts w:ascii="Verdana" w:hAnsi="Verdana"/>
          <w:sz w:val="20"/>
          <w:szCs w:val="20"/>
        </w:rPr>
        <w:t>jedná se o částku 3.987.510,57</w:t>
      </w:r>
      <w:r>
        <w:rPr>
          <w:rFonts w:ascii="Verdana" w:hAnsi="Verdana"/>
          <w:sz w:val="20"/>
          <w:szCs w:val="20"/>
        </w:rPr>
        <w:t xml:space="preserve"> Kč</w:t>
      </w:r>
      <w:r w:rsidRPr="003C7F7C">
        <w:rPr>
          <w:rFonts w:ascii="Verdana" w:hAnsi="Verdana"/>
          <w:sz w:val="20"/>
          <w:szCs w:val="20"/>
        </w:rPr>
        <w:t xml:space="preserve"> k </w:t>
      </w:r>
      <w:proofErr w:type="gramStart"/>
      <w:r w:rsidRPr="003C7F7C">
        <w:rPr>
          <w:rFonts w:ascii="Verdana" w:hAnsi="Verdana"/>
          <w:sz w:val="20"/>
          <w:szCs w:val="20"/>
        </w:rPr>
        <w:t>30.4.2021</w:t>
      </w:r>
      <w:proofErr w:type="gramEnd"/>
      <w:r w:rsidRPr="003C7F7C">
        <w:rPr>
          <w:rFonts w:ascii="Verdana" w:hAnsi="Verdana"/>
          <w:sz w:val="20"/>
          <w:szCs w:val="20"/>
        </w:rPr>
        <w:t xml:space="preserve">). Daňový řád umožňuje při splnění jasně daných podmínek vymáhat pohledávky 20 let. Z toho důvodu jsou pohledávky </w:t>
      </w:r>
      <w:r w:rsidRPr="007F3193">
        <w:rPr>
          <w:rFonts w:ascii="Verdana" w:hAnsi="Verdana"/>
          <w:b/>
          <w:sz w:val="20"/>
          <w:szCs w:val="20"/>
        </w:rPr>
        <w:t xml:space="preserve">odepisovány </w:t>
      </w:r>
      <w:r>
        <w:rPr>
          <w:rFonts w:ascii="Verdana" w:hAnsi="Verdana"/>
          <w:b/>
          <w:sz w:val="20"/>
          <w:szCs w:val="20"/>
        </w:rPr>
        <w:t>pouze</w:t>
      </w:r>
      <w:r w:rsidRPr="003C7F7C">
        <w:rPr>
          <w:rFonts w:ascii="Verdana" w:hAnsi="Verdana"/>
          <w:sz w:val="20"/>
          <w:szCs w:val="20"/>
        </w:rPr>
        <w:t xml:space="preserve"> v případě </w:t>
      </w:r>
      <w:r w:rsidRPr="007F3193">
        <w:rPr>
          <w:rFonts w:ascii="Verdana" w:hAnsi="Verdana"/>
          <w:b/>
          <w:sz w:val="20"/>
          <w:szCs w:val="20"/>
        </w:rPr>
        <w:t>úmrtí</w:t>
      </w:r>
      <w:r w:rsidRPr="003C7F7C">
        <w:rPr>
          <w:rFonts w:ascii="Verdana" w:hAnsi="Verdana"/>
          <w:sz w:val="20"/>
          <w:szCs w:val="20"/>
        </w:rPr>
        <w:t xml:space="preserve"> (</w:t>
      </w:r>
      <w:r w:rsidRPr="007F3193">
        <w:rPr>
          <w:rFonts w:ascii="Verdana" w:hAnsi="Verdana"/>
          <w:i/>
          <w:sz w:val="20"/>
          <w:szCs w:val="20"/>
        </w:rPr>
        <w:t>jen pokud není ustanoven zůstavitel</w:t>
      </w:r>
      <w:r w:rsidRPr="003C7F7C">
        <w:rPr>
          <w:rFonts w:ascii="Verdana" w:hAnsi="Verdana"/>
          <w:sz w:val="20"/>
          <w:szCs w:val="20"/>
        </w:rPr>
        <w:t xml:space="preserve">) a splněním </w:t>
      </w:r>
      <w:r w:rsidRPr="007F3193">
        <w:rPr>
          <w:rFonts w:ascii="Verdana" w:hAnsi="Verdana"/>
          <w:b/>
          <w:sz w:val="20"/>
          <w:szCs w:val="20"/>
        </w:rPr>
        <w:t>insolvenčního řízení</w:t>
      </w:r>
      <w:r w:rsidRPr="003C7F7C">
        <w:rPr>
          <w:rFonts w:ascii="Verdana" w:hAnsi="Verdana"/>
          <w:sz w:val="20"/>
          <w:szCs w:val="20"/>
        </w:rPr>
        <w:t xml:space="preserve"> (</w:t>
      </w:r>
      <w:r w:rsidRPr="007F3193">
        <w:rPr>
          <w:rFonts w:ascii="Verdana" w:hAnsi="Verdana"/>
          <w:i/>
          <w:sz w:val="20"/>
          <w:szCs w:val="20"/>
        </w:rPr>
        <w:t>následně je poplatník osvobozen od placení</w:t>
      </w:r>
      <w:r w:rsidRPr="003C7F7C">
        <w:rPr>
          <w:rFonts w:ascii="Verdana" w:hAnsi="Verdana"/>
          <w:sz w:val="20"/>
          <w:szCs w:val="20"/>
        </w:rPr>
        <w:t>).</w:t>
      </w:r>
    </w:p>
    <w:p w:rsidR="004730FB" w:rsidRPr="006B64EB" w:rsidRDefault="004730FB" w:rsidP="004730FB">
      <w:pPr>
        <w:jc w:val="both"/>
        <w:rPr>
          <w:rFonts w:ascii="Verdana" w:hAnsi="Verdana"/>
          <w:sz w:val="20"/>
          <w:szCs w:val="20"/>
        </w:rPr>
      </w:pPr>
    </w:p>
    <w:p w:rsidR="004730FB" w:rsidRDefault="004730FB" w:rsidP="004730FB">
      <w:pPr>
        <w:jc w:val="both"/>
        <w:rPr>
          <w:rFonts w:ascii="Verdana" w:hAnsi="Verdana"/>
          <w:sz w:val="20"/>
          <w:szCs w:val="20"/>
        </w:rPr>
      </w:pPr>
      <w:r w:rsidRPr="006B64EB">
        <w:rPr>
          <w:rFonts w:ascii="Verdana" w:hAnsi="Verdana"/>
          <w:sz w:val="20"/>
          <w:szCs w:val="20"/>
        </w:rPr>
        <w:t xml:space="preserve">V roce 2020 bylo předepsáno </w:t>
      </w:r>
      <w:r>
        <w:rPr>
          <w:rFonts w:ascii="Verdana" w:hAnsi="Verdana"/>
          <w:sz w:val="20"/>
          <w:szCs w:val="20"/>
        </w:rPr>
        <w:t>20.516 poplatníkům</w:t>
      </w:r>
      <w:r w:rsidRPr="006B64EB">
        <w:rPr>
          <w:rFonts w:ascii="Verdana" w:hAnsi="Verdana"/>
          <w:sz w:val="20"/>
          <w:szCs w:val="20"/>
        </w:rPr>
        <w:t xml:space="preserve"> v Kutné Hoře na místním poplatku za komunální odpad 13.</w:t>
      </w:r>
      <w:r>
        <w:rPr>
          <w:rFonts w:ascii="Verdana" w:hAnsi="Verdana"/>
          <w:sz w:val="20"/>
          <w:szCs w:val="20"/>
        </w:rPr>
        <w:t xml:space="preserve">751.432,52 </w:t>
      </w:r>
      <w:r w:rsidRPr="006B64EB">
        <w:rPr>
          <w:rFonts w:ascii="Verdana" w:hAnsi="Verdana"/>
          <w:sz w:val="20"/>
          <w:szCs w:val="20"/>
        </w:rPr>
        <w:t>Kč</w:t>
      </w:r>
      <w:r>
        <w:rPr>
          <w:rFonts w:ascii="Verdana" w:hAnsi="Verdana"/>
          <w:sz w:val="20"/>
          <w:szCs w:val="20"/>
        </w:rPr>
        <w:t xml:space="preserve"> (včetně předepsaných sankcí týkající se roku 2020)</w:t>
      </w:r>
      <w:r w:rsidRPr="006B64EB">
        <w:rPr>
          <w:rFonts w:ascii="Verdana" w:hAnsi="Verdana"/>
          <w:sz w:val="20"/>
          <w:szCs w:val="20"/>
        </w:rPr>
        <w:t xml:space="preserve">. Nedoplatek k 31. 12. 2020 byl evidován u </w:t>
      </w:r>
      <w:r>
        <w:rPr>
          <w:rFonts w:ascii="Verdana" w:hAnsi="Verdana"/>
          <w:sz w:val="20"/>
          <w:szCs w:val="20"/>
        </w:rPr>
        <w:t xml:space="preserve">1382 poplatníků </w:t>
      </w:r>
      <w:r w:rsidRPr="006B64EB">
        <w:rPr>
          <w:rFonts w:ascii="Verdana" w:hAnsi="Verdana"/>
          <w:sz w:val="20"/>
          <w:szCs w:val="20"/>
        </w:rPr>
        <w:t xml:space="preserve">(např. </w:t>
      </w:r>
      <w:r>
        <w:rPr>
          <w:rFonts w:ascii="Verdana" w:hAnsi="Verdana"/>
          <w:sz w:val="20"/>
          <w:szCs w:val="20"/>
        </w:rPr>
        <w:t>59 popla</w:t>
      </w:r>
      <w:r w:rsidRPr="006B64EB">
        <w:rPr>
          <w:rFonts w:ascii="Verdana" w:hAnsi="Verdana"/>
          <w:sz w:val="20"/>
          <w:szCs w:val="20"/>
        </w:rPr>
        <w:t>tníků v insolvenci, 182 cizinců, cca 700 poplatníků jako stálých neplatičů)</w:t>
      </w:r>
      <w:r>
        <w:rPr>
          <w:rFonts w:ascii="Verdana" w:hAnsi="Verdana"/>
          <w:sz w:val="20"/>
          <w:szCs w:val="20"/>
        </w:rPr>
        <w:t xml:space="preserve">. Nedoplatek z roku 2020 byl 1.684.713,78 Kč. </w:t>
      </w:r>
      <w:r w:rsidRPr="006B64EB">
        <w:rPr>
          <w:rFonts w:ascii="Verdana" w:hAnsi="Verdana"/>
          <w:sz w:val="20"/>
          <w:szCs w:val="20"/>
        </w:rPr>
        <w:t xml:space="preserve">Od ledna do dubna 2021 bylo vystaveno 252 exekučních příkazů za odpady. </w:t>
      </w:r>
    </w:p>
    <w:p w:rsidR="004730FB" w:rsidRDefault="004730FB" w:rsidP="004730FB">
      <w:pPr>
        <w:rPr>
          <w:rFonts w:ascii="Verdana" w:hAnsi="Verdana"/>
          <w:sz w:val="20"/>
          <w:szCs w:val="20"/>
        </w:rPr>
      </w:pPr>
    </w:p>
    <w:p w:rsidR="004730FB" w:rsidRDefault="004730FB" w:rsidP="004730FB">
      <w:pPr>
        <w:rPr>
          <w:rFonts w:ascii="Verdana" w:hAnsi="Verdana"/>
          <w:sz w:val="20"/>
          <w:szCs w:val="20"/>
        </w:rPr>
      </w:pPr>
    </w:p>
    <w:p w:rsidR="004730FB" w:rsidRPr="006B64EB" w:rsidRDefault="004730FB" w:rsidP="004730FB">
      <w:pPr>
        <w:rPr>
          <w:rFonts w:ascii="Verdana" w:hAnsi="Verdana"/>
          <w:sz w:val="20"/>
          <w:szCs w:val="20"/>
        </w:rPr>
      </w:pPr>
      <w:r w:rsidRPr="006B64EB">
        <w:rPr>
          <w:rFonts w:ascii="Verdana" w:hAnsi="Verdana"/>
          <w:sz w:val="20"/>
          <w:szCs w:val="20"/>
        </w:rPr>
        <w:t>Návrh vyhlášky</w:t>
      </w:r>
    </w:p>
    <w:p w:rsidR="004730FB" w:rsidRPr="006B64EB" w:rsidRDefault="004730FB" w:rsidP="004730FB">
      <w:pPr>
        <w:pStyle w:val="Zhlav"/>
        <w:tabs>
          <w:tab w:val="clear" w:pos="4536"/>
          <w:tab w:val="clear" w:pos="9072"/>
        </w:tabs>
        <w:jc w:val="center"/>
        <w:rPr>
          <w:rFonts w:ascii="Verdana" w:hAnsi="Verdana" w:cs="Arial"/>
          <w:b/>
        </w:rPr>
      </w:pPr>
      <w:r w:rsidRPr="006B64EB">
        <w:rPr>
          <w:rFonts w:ascii="Verdana" w:hAnsi="Verdana" w:cs="Arial"/>
          <w:b/>
        </w:rPr>
        <w:t>Město Kutná Hora</w:t>
      </w:r>
    </w:p>
    <w:p w:rsidR="004730FB" w:rsidRPr="006B64EB" w:rsidRDefault="004730FB" w:rsidP="004730FB">
      <w:pPr>
        <w:pStyle w:val="Zhlav"/>
        <w:tabs>
          <w:tab w:val="clear" w:pos="4536"/>
          <w:tab w:val="clear" w:pos="9072"/>
        </w:tabs>
        <w:jc w:val="center"/>
        <w:rPr>
          <w:rFonts w:ascii="Verdana" w:hAnsi="Verdana" w:cs="Arial"/>
          <w:b/>
        </w:rPr>
      </w:pPr>
      <w:r w:rsidRPr="006B64EB">
        <w:rPr>
          <w:rFonts w:ascii="Verdana" w:hAnsi="Verdana" w:cs="Arial"/>
          <w:b/>
        </w:rPr>
        <w:t>Zastupitelstvo města Kutná Hora</w:t>
      </w:r>
    </w:p>
    <w:p w:rsidR="004730FB" w:rsidRPr="006B64EB" w:rsidRDefault="004730FB" w:rsidP="004730FB">
      <w:pPr>
        <w:pStyle w:val="Zhlav"/>
        <w:tabs>
          <w:tab w:val="clear" w:pos="4536"/>
          <w:tab w:val="clear" w:pos="9072"/>
        </w:tabs>
        <w:rPr>
          <w:rFonts w:ascii="Verdana" w:hAnsi="Verdana" w:cs="Arial"/>
        </w:rPr>
      </w:pPr>
    </w:p>
    <w:p w:rsidR="004730FB" w:rsidRPr="006B64EB" w:rsidRDefault="004730FB" w:rsidP="004730FB">
      <w:pPr>
        <w:pStyle w:val="Zhlav"/>
        <w:tabs>
          <w:tab w:val="clear" w:pos="4536"/>
          <w:tab w:val="clear" w:pos="9072"/>
        </w:tabs>
        <w:rPr>
          <w:rFonts w:ascii="Verdana" w:hAnsi="Verdana"/>
        </w:rPr>
      </w:pPr>
    </w:p>
    <w:p w:rsidR="004730FB" w:rsidRPr="006B64EB" w:rsidRDefault="004730FB" w:rsidP="004730FB">
      <w:pPr>
        <w:spacing w:line="276" w:lineRule="auto"/>
        <w:jc w:val="center"/>
        <w:rPr>
          <w:rFonts w:ascii="Verdana" w:hAnsi="Verdana" w:cs="Arial"/>
          <w:b/>
          <w:sz w:val="20"/>
          <w:szCs w:val="20"/>
        </w:rPr>
      </w:pPr>
      <w:r w:rsidRPr="006B64EB">
        <w:rPr>
          <w:rFonts w:ascii="Verdana" w:hAnsi="Verdana" w:cs="Arial"/>
          <w:b/>
          <w:sz w:val="20"/>
          <w:szCs w:val="20"/>
        </w:rPr>
        <w:t>Obecně závazná vyhláška Města Kutná Hora č. 1/2021,</w:t>
      </w:r>
    </w:p>
    <w:p w:rsidR="004730FB" w:rsidRPr="006B64EB" w:rsidRDefault="004730FB" w:rsidP="004730FB">
      <w:pPr>
        <w:jc w:val="center"/>
        <w:rPr>
          <w:rFonts w:ascii="Verdana" w:hAnsi="Verdana" w:cs="Arial"/>
          <w:b/>
          <w:sz w:val="20"/>
          <w:szCs w:val="20"/>
        </w:rPr>
      </w:pPr>
      <w:r w:rsidRPr="006B64EB">
        <w:rPr>
          <w:rFonts w:ascii="Verdana" w:hAnsi="Verdana" w:cs="Arial"/>
          <w:b/>
          <w:sz w:val="20"/>
          <w:szCs w:val="20"/>
        </w:rPr>
        <w:t>o místním poplatku za obecní systém odpadového hospodářství</w:t>
      </w:r>
    </w:p>
    <w:p w:rsidR="004730FB" w:rsidRPr="006B64EB" w:rsidRDefault="004730FB" w:rsidP="004730FB">
      <w:pPr>
        <w:pStyle w:val="nzevzkona"/>
        <w:tabs>
          <w:tab w:val="left" w:pos="2977"/>
        </w:tabs>
        <w:spacing w:before="0" w:after="0" w:line="264" w:lineRule="auto"/>
        <w:jc w:val="both"/>
        <w:rPr>
          <w:rFonts w:ascii="Verdana" w:hAnsi="Verdana" w:cs="Arial"/>
          <w:b w:val="0"/>
          <w:sz w:val="20"/>
          <w:szCs w:val="20"/>
        </w:rPr>
      </w:pPr>
    </w:p>
    <w:p w:rsidR="004730FB" w:rsidRPr="006B64EB" w:rsidRDefault="004730FB" w:rsidP="004730FB">
      <w:pPr>
        <w:pStyle w:val="nzevzkona"/>
        <w:tabs>
          <w:tab w:val="left" w:pos="2977"/>
        </w:tabs>
        <w:spacing w:before="0" w:after="0" w:line="264" w:lineRule="auto"/>
        <w:jc w:val="both"/>
        <w:rPr>
          <w:rFonts w:ascii="Verdana" w:hAnsi="Verdana" w:cs="Arial"/>
          <w:b w:val="0"/>
          <w:bCs w:val="0"/>
          <w:sz w:val="20"/>
          <w:szCs w:val="20"/>
        </w:rPr>
      </w:pPr>
      <w:r w:rsidRPr="006B64EB">
        <w:rPr>
          <w:rFonts w:ascii="Verdana" w:hAnsi="Verdana" w:cs="Arial"/>
          <w:b w:val="0"/>
          <w:sz w:val="20"/>
          <w:szCs w:val="20"/>
        </w:rPr>
        <w:lastRenderedPageBreak/>
        <w:t xml:space="preserve">Zastupitelstvo města Kutná Hora se na svém zasedání dne </w:t>
      </w:r>
      <w:proofErr w:type="gramStart"/>
      <w:r>
        <w:rPr>
          <w:rFonts w:ascii="Verdana" w:hAnsi="Verdana" w:cs="Arial"/>
          <w:b w:val="0"/>
          <w:sz w:val="20"/>
          <w:szCs w:val="20"/>
        </w:rPr>
        <w:t>22.06.2021</w:t>
      </w:r>
      <w:proofErr w:type="gramEnd"/>
      <w:r>
        <w:rPr>
          <w:rFonts w:ascii="Verdana" w:hAnsi="Verdana" w:cs="Arial"/>
          <w:b w:val="0"/>
          <w:sz w:val="20"/>
          <w:szCs w:val="20"/>
        </w:rPr>
        <w:t xml:space="preserve"> u</w:t>
      </w:r>
      <w:r w:rsidRPr="006B64EB">
        <w:rPr>
          <w:rFonts w:ascii="Verdana" w:hAnsi="Verdana" w:cs="Arial"/>
          <w:b w:val="0"/>
          <w:sz w:val="20"/>
          <w:szCs w:val="20"/>
        </w:rPr>
        <w:t>snesením č. … usneslo vydat na základě</w:t>
      </w:r>
      <w:r w:rsidRPr="006B64EB">
        <w:rPr>
          <w:rFonts w:ascii="Verdana" w:hAnsi="Verdana" w:cs="Arial"/>
          <w:b w:val="0"/>
          <w:bCs w:val="0"/>
          <w:sz w:val="20"/>
          <w:szCs w:val="20"/>
        </w:rPr>
        <w:t xml:space="preserve"> § 14 zákona č. 565/1990 Sb., o místních poplatcích, ve znění pozdějších předpisů (dále jen „zákon o místních poplatcích“), a v souladu s § 10 písm. d) </w:t>
      </w:r>
      <w:r w:rsidRPr="006B64EB">
        <w:rPr>
          <w:rFonts w:ascii="Verdana" w:hAnsi="Verdana" w:cs="Arial"/>
          <w:b w:val="0"/>
          <w:bCs w:val="0"/>
          <w:sz w:val="20"/>
          <w:szCs w:val="20"/>
        </w:rPr>
        <w:br/>
        <w:t xml:space="preserve">a § 84 odst. 2 písm. h) zákona č. 128/2000 Sb., o obcích (obecní zřízení), ve znění pozdějších předpisů, tuto obecně závaznou vyhlášku (dále jen „tato vyhláška“): </w:t>
      </w:r>
    </w:p>
    <w:p w:rsidR="004730FB" w:rsidRPr="006B64EB" w:rsidRDefault="004730FB" w:rsidP="004730FB">
      <w:pPr>
        <w:pStyle w:val="slalnk"/>
        <w:spacing w:before="480"/>
        <w:rPr>
          <w:rFonts w:ascii="Verdana" w:hAnsi="Verdana" w:cs="Arial"/>
          <w:sz w:val="20"/>
        </w:rPr>
      </w:pPr>
      <w:r w:rsidRPr="006B64EB">
        <w:rPr>
          <w:rFonts w:ascii="Verdana" w:hAnsi="Verdana" w:cs="Arial"/>
          <w:sz w:val="20"/>
        </w:rPr>
        <w:t>Čl. 1</w:t>
      </w:r>
    </w:p>
    <w:p w:rsidR="004730FB" w:rsidRPr="006B64EB" w:rsidRDefault="004730FB" w:rsidP="004730FB">
      <w:pPr>
        <w:pStyle w:val="Nzvylnk"/>
        <w:rPr>
          <w:rFonts w:ascii="Verdana" w:hAnsi="Verdana" w:cs="Arial"/>
          <w:sz w:val="20"/>
        </w:rPr>
      </w:pPr>
      <w:r w:rsidRPr="006B64EB">
        <w:rPr>
          <w:rFonts w:ascii="Verdana" w:hAnsi="Verdana" w:cs="Arial"/>
          <w:sz w:val="20"/>
        </w:rPr>
        <w:t>Úvodní ustanovení</w:t>
      </w:r>
    </w:p>
    <w:p w:rsidR="004730FB" w:rsidRPr="006B64EB" w:rsidRDefault="004730FB" w:rsidP="004730FB">
      <w:pPr>
        <w:pStyle w:val="Zkladntextodsazen"/>
        <w:numPr>
          <w:ilvl w:val="0"/>
          <w:numId w:val="19"/>
        </w:numPr>
        <w:spacing w:after="60" w:line="264" w:lineRule="auto"/>
        <w:jc w:val="both"/>
        <w:rPr>
          <w:rFonts w:ascii="Verdana" w:hAnsi="Verdana" w:cs="Arial"/>
          <w:sz w:val="20"/>
          <w:szCs w:val="20"/>
        </w:rPr>
      </w:pPr>
      <w:r w:rsidRPr="006B64EB">
        <w:rPr>
          <w:rFonts w:ascii="Verdana" w:hAnsi="Verdana" w:cs="Arial"/>
          <w:sz w:val="20"/>
          <w:szCs w:val="20"/>
        </w:rPr>
        <w:t>Město Kutná Hora touto vyhláškou zavádí místní poplatek za obecní systém odpadového hospodářství (dále jen „poplatek“).</w:t>
      </w:r>
    </w:p>
    <w:p w:rsidR="004730FB" w:rsidRPr="006B64EB" w:rsidRDefault="004730FB" w:rsidP="004730FB">
      <w:pPr>
        <w:numPr>
          <w:ilvl w:val="0"/>
          <w:numId w:val="19"/>
        </w:numPr>
        <w:spacing w:line="288" w:lineRule="auto"/>
        <w:jc w:val="both"/>
        <w:rPr>
          <w:rFonts w:ascii="Verdana" w:hAnsi="Verdana" w:cs="Arial"/>
          <w:sz w:val="20"/>
          <w:szCs w:val="20"/>
        </w:rPr>
      </w:pPr>
      <w:r w:rsidRPr="006B64EB">
        <w:rPr>
          <w:rFonts w:ascii="Verdana" w:hAnsi="Verdana" w:cs="Arial"/>
          <w:sz w:val="20"/>
          <w:szCs w:val="20"/>
        </w:rPr>
        <w:t>Správcem poplatku je městský úřad.</w:t>
      </w:r>
      <w:r w:rsidRPr="006B64EB">
        <w:rPr>
          <w:rFonts w:ascii="Verdana" w:hAnsi="Verdana" w:cs="Arial"/>
          <w:sz w:val="20"/>
          <w:szCs w:val="20"/>
          <w:vertAlign w:val="superscript"/>
        </w:rPr>
        <w:footnoteReference w:id="1"/>
      </w:r>
    </w:p>
    <w:p w:rsidR="004730FB" w:rsidRPr="006B64EB" w:rsidRDefault="004730FB" w:rsidP="004730FB">
      <w:pPr>
        <w:pStyle w:val="slalnk"/>
        <w:spacing w:before="480"/>
        <w:rPr>
          <w:rFonts w:ascii="Verdana" w:hAnsi="Verdana" w:cs="Arial"/>
          <w:sz w:val="20"/>
        </w:rPr>
      </w:pPr>
      <w:r w:rsidRPr="006B64EB">
        <w:rPr>
          <w:rFonts w:ascii="Verdana" w:hAnsi="Verdana" w:cs="Arial"/>
          <w:sz w:val="20"/>
        </w:rPr>
        <w:t>Čl. 2</w:t>
      </w:r>
    </w:p>
    <w:p w:rsidR="004730FB" w:rsidRPr="006B64EB" w:rsidRDefault="004730FB" w:rsidP="004730FB">
      <w:pPr>
        <w:pStyle w:val="Nzvylnk"/>
        <w:rPr>
          <w:rFonts w:ascii="Verdana" w:hAnsi="Verdana" w:cs="Arial"/>
          <w:sz w:val="20"/>
        </w:rPr>
      </w:pPr>
      <w:r w:rsidRPr="006B64EB">
        <w:rPr>
          <w:rFonts w:ascii="Verdana" w:hAnsi="Verdana" w:cs="Arial"/>
          <w:sz w:val="20"/>
        </w:rPr>
        <w:t>Poplatník</w:t>
      </w:r>
    </w:p>
    <w:p w:rsidR="004730FB" w:rsidRPr="006B64EB" w:rsidRDefault="004730FB" w:rsidP="004730FB">
      <w:pPr>
        <w:numPr>
          <w:ilvl w:val="0"/>
          <w:numId w:val="21"/>
        </w:numPr>
        <w:spacing w:before="120" w:after="60" w:line="264" w:lineRule="auto"/>
        <w:ind w:left="567" w:hanging="567"/>
        <w:jc w:val="both"/>
        <w:rPr>
          <w:rFonts w:ascii="Verdana" w:hAnsi="Verdana" w:cs="Arial"/>
          <w:sz w:val="20"/>
          <w:szCs w:val="20"/>
        </w:rPr>
      </w:pPr>
      <w:r w:rsidRPr="006B64EB">
        <w:rPr>
          <w:rFonts w:ascii="Verdana" w:hAnsi="Verdana" w:cs="Arial"/>
          <w:sz w:val="20"/>
          <w:szCs w:val="20"/>
        </w:rPr>
        <w:t>Poplatníkem poplatku je</w:t>
      </w:r>
      <w:r w:rsidRPr="006B64EB">
        <w:rPr>
          <w:rStyle w:val="Znakapoznpodarou"/>
          <w:rFonts w:ascii="Verdana" w:hAnsi="Verdana" w:cs="Arial"/>
          <w:sz w:val="20"/>
          <w:szCs w:val="20"/>
        </w:rPr>
        <w:footnoteReference w:id="2"/>
      </w:r>
      <w:r w:rsidRPr="006B64EB">
        <w:rPr>
          <w:rFonts w:ascii="Verdana" w:hAnsi="Verdana" w:cs="Arial"/>
          <w:sz w:val="20"/>
          <w:szCs w:val="20"/>
        </w:rPr>
        <w:t>:</w:t>
      </w:r>
    </w:p>
    <w:p w:rsidR="004730FB" w:rsidRPr="006B64EB" w:rsidRDefault="004730FB" w:rsidP="004730FB">
      <w:pPr>
        <w:pStyle w:val="Default"/>
        <w:spacing w:after="53"/>
        <w:ind w:firstLine="567"/>
        <w:jc w:val="both"/>
        <w:rPr>
          <w:sz w:val="20"/>
          <w:szCs w:val="20"/>
        </w:rPr>
      </w:pPr>
      <w:r w:rsidRPr="006B64EB">
        <w:rPr>
          <w:sz w:val="20"/>
          <w:szCs w:val="20"/>
        </w:rPr>
        <w:t>a) fyzická osoba přihlášená v obci</w:t>
      </w:r>
      <w:r w:rsidRPr="006B64EB">
        <w:rPr>
          <w:rStyle w:val="Znakapoznpodarou"/>
          <w:sz w:val="20"/>
          <w:szCs w:val="20"/>
        </w:rPr>
        <w:footnoteReference w:id="3"/>
      </w:r>
      <w:r w:rsidRPr="006B64EB">
        <w:rPr>
          <w:sz w:val="20"/>
          <w:szCs w:val="20"/>
        </w:rPr>
        <w:t xml:space="preserve"> nebo </w:t>
      </w:r>
    </w:p>
    <w:p w:rsidR="004730FB" w:rsidRPr="006B64EB" w:rsidRDefault="004730FB" w:rsidP="004730FB">
      <w:pPr>
        <w:pStyle w:val="Default"/>
        <w:ind w:left="567"/>
        <w:jc w:val="both"/>
        <w:rPr>
          <w:sz w:val="20"/>
          <w:szCs w:val="20"/>
        </w:rPr>
      </w:pPr>
      <w:r w:rsidRPr="006B64EB">
        <w:rPr>
          <w:sz w:val="20"/>
          <w:szCs w:val="20"/>
        </w:rPr>
        <w:t xml:space="preserve">b) vlastník nemovité věci zahrnující byt, rodinný dům nebo stavbu pro rodinnou rekreaci, ve které není přihlášená žádná fyzická osoba a která je umístěna na území obce. </w:t>
      </w:r>
    </w:p>
    <w:p w:rsidR="004730FB" w:rsidRPr="006B64EB" w:rsidRDefault="004730FB" w:rsidP="004730FB">
      <w:pPr>
        <w:numPr>
          <w:ilvl w:val="0"/>
          <w:numId w:val="21"/>
        </w:numPr>
        <w:spacing w:before="120" w:after="60" w:line="264" w:lineRule="auto"/>
        <w:ind w:left="567" w:hanging="567"/>
        <w:jc w:val="both"/>
        <w:rPr>
          <w:rFonts w:ascii="Verdana" w:hAnsi="Verdana" w:cs="Arial"/>
          <w:sz w:val="20"/>
          <w:szCs w:val="20"/>
        </w:rPr>
      </w:pPr>
      <w:r w:rsidRPr="006B64EB">
        <w:rPr>
          <w:rFonts w:ascii="Verdana" w:hAnsi="Verdana" w:cs="Arial"/>
          <w:sz w:val="20"/>
          <w:szCs w:val="20"/>
        </w:rPr>
        <w:t>Spoluvlastníci nemovité věci zahrnující byt, rodinný dům nebo stavbu pro rodinnou rekreaci jsou povinni plnit poplatkovou povinnost společně a nerozdílně.</w:t>
      </w:r>
      <w:r w:rsidRPr="006B64EB">
        <w:rPr>
          <w:rStyle w:val="Znakapoznpodarou"/>
          <w:rFonts w:ascii="Verdana" w:hAnsi="Verdana" w:cs="Arial"/>
          <w:sz w:val="20"/>
          <w:szCs w:val="20"/>
        </w:rPr>
        <w:footnoteReference w:id="4"/>
      </w:r>
    </w:p>
    <w:p w:rsidR="004730FB" w:rsidRPr="006B64EB" w:rsidRDefault="004730FB" w:rsidP="004730FB">
      <w:pPr>
        <w:pStyle w:val="slalnk"/>
        <w:spacing w:before="480"/>
        <w:ind w:left="4185" w:firstLine="63"/>
        <w:jc w:val="left"/>
        <w:rPr>
          <w:rFonts w:ascii="Verdana" w:hAnsi="Verdana" w:cs="Arial"/>
          <w:sz w:val="20"/>
        </w:rPr>
      </w:pPr>
      <w:r w:rsidRPr="006B64EB">
        <w:rPr>
          <w:rFonts w:ascii="Verdana" w:hAnsi="Verdana" w:cs="Arial"/>
          <w:sz w:val="20"/>
        </w:rPr>
        <w:t>Čl. 3</w:t>
      </w:r>
    </w:p>
    <w:p w:rsidR="004730FB" w:rsidRPr="006B64EB" w:rsidRDefault="004730FB" w:rsidP="004730FB">
      <w:pPr>
        <w:pStyle w:val="Nzvylnk"/>
        <w:ind w:left="3477" w:firstLine="63"/>
        <w:jc w:val="left"/>
        <w:rPr>
          <w:rFonts w:ascii="Verdana" w:hAnsi="Verdana" w:cs="Arial"/>
          <w:sz w:val="20"/>
        </w:rPr>
      </w:pPr>
      <w:r w:rsidRPr="006B64EB">
        <w:rPr>
          <w:rFonts w:ascii="Verdana" w:hAnsi="Verdana" w:cs="Arial"/>
          <w:sz w:val="20"/>
        </w:rPr>
        <w:t>Poplatkové období</w:t>
      </w:r>
    </w:p>
    <w:p w:rsidR="004730FB" w:rsidRPr="006B64EB" w:rsidRDefault="004730FB" w:rsidP="004730FB">
      <w:pPr>
        <w:pStyle w:val="slalnk"/>
        <w:spacing w:before="480"/>
        <w:ind w:firstLine="708"/>
        <w:jc w:val="both"/>
        <w:rPr>
          <w:rFonts w:ascii="Verdana" w:hAnsi="Verdana" w:cs="Arial"/>
          <w:b w:val="0"/>
          <w:bCs w:val="0"/>
          <w:sz w:val="20"/>
        </w:rPr>
      </w:pPr>
      <w:r w:rsidRPr="006B64EB">
        <w:rPr>
          <w:rFonts w:ascii="Verdana" w:hAnsi="Verdana" w:cs="Arial"/>
          <w:b w:val="0"/>
          <w:bCs w:val="0"/>
          <w:sz w:val="20"/>
        </w:rPr>
        <w:t>Poplatkovým obdobím poplatku je kalendářní rok.</w:t>
      </w:r>
      <w:r w:rsidRPr="006B64EB">
        <w:rPr>
          <w:rStyle w:val="Znakapoznpodarou"/>
          <w:rFonts w:ascii="Verdana" w:hAnsi="Verdana" w:cs="Arial"/>
          <w:b w:val="0"/>
          <w:bCs w:val="0"/>
          <w:sz w:val="20"/>
        </w:rPr>
        <w:footnoteReference w:id="5"/>
      </w:r>
    </w:p>
    <w:p w:rsidR="004730FB" w:rsidRPr="006B64EB" w:rsidRDefault="004730FB" w:rsidP="004730FB">
      <w:pPr>
        <w:pStyle w:val="slalnk"/>
        <w:spacing w:before="480"/>
        <w:rPr>
          <w:rFonts w:ascii="Verdana" w:hAnsi="Verdana" w:cs="Arial"/>
          <w:sz w:val="20"/>
        </w:rPr>
      </w:pPr>
      <w:r w:rsidRPr="006B64EB">
        <w:rPr>
          <w:rFonts w:ascii="Verdana" w:hAnsi="Verdana" w:cs="Arial"/>
          <w:sz w:val="20"/>
        </w:rPr>
        <w:t>Čl. 4</w:t>
      </w:r>
    </w:p>
    <w:p w:rsidR="004730FB" w:rsidRPr="006B64EB" w:rsidRDefault="004730FB" w:rsidP="004730FB">
      <w:pPr>
        <w:pStyle w:val="Nzvylnk"/>
        <w:rPr>
          <w:rFonts w:ascii="Verdana" w:hAnsi="Verdana" w:cs="Arial"/>
          <w:sz w:val="20"/>
        </w:rPr>
      </w:pPr>
      <w:r w:rsidRPr="006B64EB">
        <w:rPr>
          <w:rFonts w:ascii="Verdana" w:hAnsi="Verdana" w:cs="Arial"/>
          <w:sz w:val="20"/>
        </w:rPr>
        <w:t>Ohlašovací povinnost</w:t>
      </w:r>
    </w:p>
    <w:p w:rsidR="004730FB" w:rsidRPr="006B64EB" w:rsidRDefault="004730FB" w:rsidP="004730FB">
      <w:pPr>
        <w:numPr>
          <w:ilvl w:val="0"/>
          <w:numId w:val="22"/>
        </w:numPr>
        <w:spacing w:before="120" w:line="264" w:lineRule="auto"/>
        <w:jc w:val="both"/>
        <w:rPr>
          <w:rFonts w:ascii="Verdana" w:hAnsi="Verdana" w:cs="Arial"/>
          <w:color w:val="0070C0"/>
          <w:sz w:val="20"/>
          <w:szCs w:val="20"/>
        </w:rPr>
      </w:pPr>
      <w:r w:rsidRPr="006B64EB">
        <w:rPr>
          <w:rFonts w:ascii="Verdana" w:hAnsi="Verdana" w:cs="Arial"/>
          <w:sz w:val="20"/>
          <w:szCs w:val="20"/>
        </w:rPr>
        <w:t xml:space="preserve">Poplatník je povinen podat správci poplatku ohlášení nejpozději do 15. dnů ode dne vzniku své poplatkové povinnosti. </w:t>
      </w:r>
    </w:p>
    <w:p w:rsidR="004730FB" w:rsidRPr="006B64EB" w:rsidRDefault="004730FB" w:rsidP="004730FB">
      <w:pPr>
        <w:numPr>
          <w:ilvl w:val="0"/>
          <w:numId w:val="22"/>
        </w:numPr>
        <w:spacing w:before="120" w:line="312" w:lineRule="auto"/>
        <w:jc w:val="both"/>
        <w:rPr>
          <w:rFonts w:ascii="Verdana" w:hAnsi="Verdana" w:cs="Arial"/>
          <w:sz w:val="20"/>
          <w:szCs w:val="20"/>
        </w:rPr>
      </w:pPr>
      <w:r w:rsidRPr="006B64EB">
        <w:rPr>
          <w:rFonts w:ascii="Verdana" w:hAnsi="Verdana" w:cs="Arial"/>
          <w:sz w:val="20"/>
          <w:szCs w:val="20"/>
        </w:rPr>
        <w:t>V ohlášení poplatník uvede</w:t>
      </w:r>
      <w:r w:rsidRPr="006B64EB">
        <w:rPr>
          <w:rStyle w:val="Znakapoznpodarou"/>
          <w:rFonts w:ascii="Verdana" w:hAnsi="Verdana" w:cs="Arial"/>
          <w:sz w:val="20"/>
          <w:szCs w:val="20"/>
        </w:rPr>
        <w:footnoteReference w:id="6"/>
      </w:r>
      <w:r w:rsidRPr="006B64EB">
        <w:rPr>
          <w:rFonts w:ascii="Verdana" w:hAnsi="Verdana" w:cs="Arial"/>
          <w:sz w:val="20"/>
          <w:szCs w:val="20"/>
        </w:rPr>
        <w:t xml:space="preserve"> </w:t>
      </w:r>
    </w:p>
    <w:p w:rsidR="004730FB" w:rsidRPr="006B64EB" w:rsidRDefault="004730FB" w:rsidP="004730FB">
      <w:pPr>
        <w:numPr>
          <w:ilvl w:val="1"/>
          <w:numId w:val="22"/>
        </w:numPr>
        <w:spacing w:before="120" w:line="312" w:lineRule="auto"/>
        <w:jc w:val="both"/>
        <w:rPr>
          <w:rFonts w:ascii="Verdana" w:hAnsi="Verdana" w:cs="Arial"/>
          <w:sz w:val="20"/>
          <w:szCs w:val="20"/>
        </w:rPr>
      </w:pPr>
      <w:r w:rsidRPr="006B64EB">
        <w:rPr>
          <w:rFonts w:ascii="Verdana" w:hAnsi="Verdana" w:cs="Arial"/>
          <w:sz w:val="20"/>
          <w:szCs w:val="20"/>
        </w:rPr>
        <w:t xml:space="preserve">jméno, popřípadě jména, a příjmení nebo název, obecný identifikátor, byl-li přidělen, místo pobytu nebo sídlo, sídlo podnikatele, popřípadě další </w:t>
      </w:r>
      <w:proofErr w:type="gramStart"/>
      <w:r w:rsidRPr="006B64EB">
        <w:rPr>
          <w:rFonts w:ascii="Verdana" w:hAnsi="Verdana" w:cs="Arial"/>
          <w:sz w:val="20"/>
          <w:szCs w:val="20"/>
        </w:rPr>
        <w:t>adresu</w:t>
      </w:r>
      <w:proofErr w:type="gramEnd"/>
      <w:r w:rsidRPr="006B64EB">
        <w:rPr>
          <w:rFonts w:ascii="Verdana" w:hAnsi="Verdana" w:cs="Arial"/>
          <w:sz w:val="20"/>
          <w:szCs w:val="20"/>
        </w:rPr>
        <w:t xml:space="preserve"> pro </w:t>
      </w:r>
      <w:r w:rsidRPr="006B64EB">
        <w:rPr>
          <w:rFonts w:ascii="Verdana" w:hAnsi="Verdana" w:cs="Arial"/>
          <w:sz w:val="20"/>
          <w:szCs w:val="20"/>
        </w:rPr>
        <w:lastRenderedPageBreak/>
        <w:t>doručování; právnická osoba uvede též osoby, které jsou jejím jménem oprávněny jednat v  poplatkových věcech,</w:t>
      </w:r>
    </w:p>
    <w:p w:rsidR="004730FB" w:rsidRPr="006B64EB" w:rsidRDefault="004730FB" w:rsidP="004730FB">
      <w:pPr>
        <w:numPr>
          <w:ilvl w:val="1"/>
          <w:numId w:val="22"/>
        </w:numPr>
        <w:spacing w:before="120" w:line="312" w:lineRule="auto"/>
        <w:jc w:val="both"/>
        <w:rPr>
          <w:rFonts w:ascii="Verdana" w:hAnsi="Verdana" w:cs="Arial"/>
          <w:sz w:val="20"/>
          <w:szCs w:val="20"/>
        </w:rPr>
      </w:pPr>
      <w:r w:rsidRPr="006B64EB">
        <w:rPr>
          <w:rFonts w:ascii="Verdana" w:hAnsi="Verdana" w:cs="Arial"/>
          <w:sz w:val="20"/>
          <w:szCs w:val="20"/>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4730FB" w:rsidRPr="006B64EB" w:rsidRDefault="004730FB" w:rsidP="004730FB">
      <w:pPr>
        <w:numPr>
          <w:ilvl w:val="1"/>
          <w:numId w:val="22"/>
        </w:numPr>
        <w:spacing w:before="120" w:line="312" w:lineRule="auto"/>
        <w:jc w:val="both"/>
        <w:rPr>
          <w:rFonts w:ascii="Verdana" w:hAnsi="Verdana" w:cs="Arial"/>
          <w:sz w:val="20"/>
          <w:szCs w:val="20"/>
        </w:rPr>
      </w:pPr>
      <w:r w:rsidRPr="006B64EB">
        <w:rPr>
          <w:rFonts w:ascii="Verdana" w:hAnsi="Verdana" w:cs="Arial"/>
          <w:sz w:val="20"/>
          <w:szCs w:val="20"/>
        </w:rPr>
        <w:t>další údaje rozhodné pro stanovení poplatku, zejména skutečnosti zakládající nárok na osvobození nebo úlevu od poplatku, a jde-li o poplatníka dle čl. 2 odst. 1 písm. b) této vyhlášky, též identifikační údaje nemovité věci zahrnující byt, rodinný dům nebo stavbu pro rodinnou rekreaci podle katastru nemovitostí.</w:t>
      </w:r>
    </w:p>
    <w:p w:rsidR="004730FB" w:rsidRPr="006B64EB" w:rsidRDefault="004730FB" w:rsidP="004730FB">
      <w:pPr>
        <w:numPr>
          <w:ilvl w:val="0"/>
          <w:numId w:val="22"/>
        </w:numPr>
        <w:spacing w:before="120" w:line="264" w:lineRule="auto"/>
        <w:jc w:val="both"/>
        <w:rPr>
          <w:rFonts w:ascii="Verdana" w:hAnsi="Verdana" w:cs="Arial"/>
          <w:sz w:val="20"/>
          <w:szCs w:val="20"/>
        </w:rPr>
      </w:pPr>
      <w:r w:rsidRPr="006B64EB">
        <w:rPr>
          <w:rFonts w:ascii="Verdana" w:hAnsi="Verdana" w:cs="Arial"/>
          <w:sz w:val="20"/>
          <w:szCs w:val="20"/>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6B64EB">
        <w:rPr>
          <w:rStyle w:val="Znakapoznpodarou"/>
          <w:rFonts w:ascii="Verdana" w:hAnsi="Verdana" w:cs="Arial"/>
          <w:sz w:val="20"/>
          <w:szCs w:val="20"/>
        </w:rPr>
        <w:footnoteReference w:id="7"/>
      </w:r>
    </w:p>
    <w:p w:rsidR="004730FB" w:rsidRPr="006B64EB" w:rsidRDefault="004730FB" w:rsidP="004730FB">
      <w:pPr>
        <w:numPr>
          <w:ilvl w:val="0"/>
          <w:numId w:val="22"/>
        </w:numPr>
        <w:spacing w:before="120" w:line="264" w:lineRule="auto"/>
        <w:jc w:val="both"/>
        <w:rPr>
          <w:rFonts w:ascii="Verdana" w:hAnsi="Verdana" w:cs="Arial"/>
          <w:sz w:val="20"/>
          <w:szCs w:val="20"/>
        </w:rPr>
      </w:pPr>
      <w:r w:rsidRPr="006B64EB">
        <w:rPr>
          <w:rFonts w:ascii="Verdana" w:hAnsi="Verdana" w:cs="Arial"/>
          <w:sz w:val="20"/>
          <w:szCs w:val="20"/>
        </w:rPr>
        <w:t>Dojde-li ke změně údajů uvedených v ohlášení, je poplatník povinen tuto změnu oznámit do 15 dnů ode dne, kdy nastala.</w:t>
      </w:r>
      <w:r w:rsidRPr="006B64EB">
        <w:rPr>
          <w:rStyle w:val="Znakapoznpodarou"/>
          <w:rFonts w:ascii="Verdana" w:hAnsi="Verdana" w:cs="Arial"/>
          <w:sz w:val="20"/>
          <w:szCs w:val="20"/>
        </w:rPr>
        <w:footnoteReference w:id="8"/>
      </w:r>
    </w:p>
    <w:p w:rsidR="004730FB" w:rsidRPr="006B64EB" w:rsidRDefault="004730FB" w:rsidP="004730FB">
      <w:pPr>
        <w:numPr>
          <w:ilvl w:val="0"/>
          <w:numId w:val="22"/>
        </w:numPr>
        <w:spacing w:before="120" w:line="264" w:lineRule="auto"/>
        <w:jc w:val="both"/>
        <w:rPr>
          <w:rFonts w:ascii="Verdana" w:hAnsi="Verdana" w:cs="Arial"/>
          <w:sz w:val="20"/>
          <w:szCs w:val="20"/>
        </w:rPr>
      </w:pPr>
      <w:r w:rsidRPr="006B64EB">
        <w:rPr>
          <w:rFonts w:ascii="Verdana" w:hAnsi="Verdana" w:cs="Arial"/>
          <w:sz w:val="20"/>
          <w:szCs w:val="20"/>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6B64EB">
        <w:rPr>
          <w:rStyle w:val="Znakapoznpodarou"/>
          <w:rFonts w:ascii="Verdana" w:hAnsi="Verdana" w:cs="Arial"/>
          <w:sz w:val="20"/>
          <w:szCs w:val="20"/>
        </w:rPr>
        <w:footnoteReference w:id="9"/>
      </w:r>
    </w:p>
    <w:p w:rsidR="004730FB" w:rsidRPr="006B64EB" w:rsidRDefault="004730FB" w:rsidP="004730FB">
      <w:pPr>
        <w:pStyle w:val="slalnk"/>
        <w:spacing w:before="480"/>
        <w:rPr>
          <w:rFonts w:ascii="Verdana" w:hAnsi="Verdana" w:cs="Arial"/>
          <w:i/>
          <w:sz w:val="20"/>
        </w:rPr>
      </w:pPr>
      <w:r w:rsidRPr="006B64EB">
        <w:rPr>
          <w:rFonts w:ascii="Verdana" w:hAnsi="Verdana" w:cs="Arial"/>
          <w:sz w:val="20"/>
        </w:rPr>
        <w:t>Čl. 5</w:t>
      </w:r>
    </w:p>
    <w:p w:rsidR="004730FB" w:rsidRPr="006B64EB" w:rsidRDefault="004730FB" w:rsidP="004730FB">
      <w:pPr>
        <w:pStyle w:val="Nzvylnk"/>
        <w:rPr>
          <w:rFonts w:ascii="Verdana" w:hAnsi="Verdana" w:cs="Arial"/>
          <w:sz w:val="20"/>
        </w:rPr>
      </w:pPr>
      <w:r w:rsidRPr="006B64EB">
        <w:rPr>
          <w:rFonts w:ascii="Verdana" w:hAnsi="Verdana" w:cs="Arial"/>
          <w:sz w:val="20"/>
        </w:rPr>
        <w:t>Sazba poplatku</w:t>
      </w:r>
    </w:p>
    <w:p w:rsidR="004730FB" w:rsidRPr="006B64EB" w:rsidRDefault="004730FB" w:rsidP="004730FB">
      <w:pPr>
        <w:numPr>
          <w:ilvl w:val="0"/>
          <w:numId w:val="20"/>
        </w:numPr>
        <w:spacing w:before="120" w:after="60" w:line="264" w:lineRule="auto"/>
        <w:jc w:val="both"/>
        <w:rPr>
          <w:rFonts w:ascii="Verdana" w:hAnsi="Verdana" w:cs="Arial"/>
          <w:i/>
          <w:color w:val="0070C0"/>
          <w:sz w:val="20"/>
          <w:szCs w:val="20"/>
        </w:rPr>
      </w:pPr>
      <w:r w:rsidRPr="006B64EB">
        <w:rPr>
          <w:rFonts w:ascii="Verdana" w:hAnsi="Verdana" w:cs="Arial"/>
          <w:sz w:val="20"/>
          <w:szCs w:val="20"/>
        </w:rPr>
        <w:t>Sazba poplatku činí …. Kč.</w:t>
      </w:r>
    </w:p>
    <w:p w:rsidR="004730FB" w:rsidRPr="006B64EB" w:rsidRDefault="004730FB" w:rsidP="004730FB">
      <w:pPr>
        <w:numPr>
          <w:ilvl w:val="0"/>
          <w:numId w:val="20"/>
        </w:numPr>
        <w:spacing w:before="120" w:after="60" w:line="264" w:lineRule="auto"/>
        <w:jc w:val="both"/>
        <w:rPr>
          <w:rFonts w:ascii="Verdana" w:hAnsi="Verdana" w:cs="Arial"/>
          <w:sz w:val="20"/>
          <w:szCs w:val="20"/>
        </w:rPr>
      </w:pPr>
      <w:proofErr w:type="gramStart"/>
      <w:r w:rsidRPr="006B64EB">
        <w:rPr>
          <w:rFonts w:ascii="Verdana" w:hAnsi="Verdana" w:cs="Arial"/>
          <w:sz w:val="20"/>
          <w:szCs w:val="20"/>
        </w:rPr>
        <w:t>Poplatek</w:t>
      </w:r>
      <w:proofErr w:type="gramEnd"/>
      <w:r w:rsidRPr="006B64EB">
        <w:rPr>
          <w:rFonts w:ascii="Verdana" w:hAnsi="Verdana" w:cs="Arial"/>
          <w:sz w:val="20"/>
          <w:szCs w:val="20"/>
        </w:rPr>
        <w:t xml:space="preserve"> se v případě, že poplatková povinnost vznikla z důvodu přihlášení fyzické osoby v obci, snižuje o jednu dvanáctinu za každý kalendářní měsíc, na jehož </w:t>
      </w:r>
      <w:proofErr w:type="gramStart"/>
      <w:r w:rsidRPr="006B64EB">
        <w:rPr>
          <w:rFonts w:ascii="Verdana" w:hAnsi="Verdana" w:cs="Arial"/>
          <w:sz w:val="20"/>
          <w:szCs w:val="20"/>
        </w:rPr>
        <w:t>konci</w:t>
      </w:r>
      <w:proofErr w:type="gramEnd"/>
      <w:r w:rsidRPr="006B64EB">
        <w:rPr>
          <w:rStyle w:val="Znakapoznpodarou"/>
          <w:rFonts w:ascii="Verdana" w:hAnsi="Verdana" w:cs="Arial"/>
          <w:sz w:val="20"/>
          <w:szCs w:val="20"/>
        </w:rPr>
        <w:footnoteReference w:id="10"/>
      </w:r>
    </w:p>
    <w:p w:rsidR="004730FB" w:rsidRPr="006B64EB" w:rsidRDefault="004730FB" w:rsidP="004730FB">
      <w:pPr>
        <w:spacing w:before="120" w:after="60" w:line="264" w:lineRule="auto"/>
        <w:ind w:left="567"/>
        <w:jc w:val="both"/>
        <w:rPr>
          <w:rFonts w:ascii="Verdana" w:hAnsi="Verdana" w:cs="Arial"/>
          <w:sz w:val="20"/>
          <w:szCs w:val="20"/>
        </w:rPr>
      </w:pPr>
      <w:r w:rsidRPr="006B64EB">
        <w:rPr>
          <w:rFonts w:ascii="Verdana" w:hAnsi="Verdana" w:cs="Arial"/>
          <w:sz w:val="20"/>
          <w:szCs w:val="20"/>
        </w:rPr>
        <w:t>a) není tato fyzická osoba přihlášena v obci, nebo</w:t>
      </w:r>
    </w:p>
    <w:p w:rsidR="004730FB" w:rsidRPr="006B64EB" w:rsidRDefault="004730FB" w:rsidP="004730FB">
      <w:pPr>
        <w:spacing w:before="120" w:after="60" w:line="264" w:lineRule="auto"/>
        <w:ind w:left="567"/>
        <w:jc w:val="both"/>
        <w:rPr>
          <w:rFonts w:ascii="Verdana" w:hAnsi="Verdana" w:cs="Arial"/>
          <w:sz w:val="20"/>
          <w:szCs w:val="20"/>
        </w:rPr>
      </w:pPr>
      <w:r w:rsidRPr="006B64EB">
        <w:rPr>
          <w:rFonts w:ascii="Verdana" w:hAnsi="Verdana" w:cs="Arial"/>
          <w:sz w:val="20"/>
          <w:szCs w:val="20"/>
        </w:rPr>
        <w:t>b) je tato fyzická osoba od poplatku osvobozena.</w:t>
      </w:r>
    </w:p>
    <w:p w:rsidR="004730FB" w:rsidRPr="006B64EB" w:rsidRDefault="004730FB" w:rsidP="004730FB">
      <w:pPr>
        <w:numPr>
          <w:ilvl w:val="0"/>
          <w:numId w:val="20"/>
        </w:numPr>
        <w:spacing w:before="120" w:after="60" w:line="264" w:lineRule="auto"/>
        <w:jc w:val="both"/>
        <w:rPr>
          <w:rFonts w:ascii="Verdana" w:hAnsi="Verdana" w:cs="Arial"/>
          <w:sz w:val="20"/>
          <w:szCs w:val="20"/>
        </w:rPr>
      </w:pPr>
      <w:proofErr w:type="gramStart"/>
      <w:r w:rsidRPr="006B64EB">
        <w:rPr>
          <w:rFonts w:ascii="Verdana" w:hAnsi="Verdana" w:cs="Arial"/>
          <w:sz w:val="20"/>
          <w:szCs w:val="20"/>
        </w:rPr>
        <w:t>Poplatek</w:t>
      </w:r>
      <w:proofErr w:type="gramEnd"/>
      <w:r w:rsidRPr="006B64EB">
        <w:rPr>
          <w:rFonts w:ascii="Verdana" w:hAnsi="Verdana" w:cs="Arial"/>
          <w:sz w:val="20"/>
          <w:szCs w:val="20"/>
        </w:rPr>
        <w:t xml:space="preserve"> se v případě, že poplatková povinnost vznikla z důvodu vlastnictví jednotlivé nemovité věci zahrnující byt, rodinný dům nebo stavbu pro rodinnou rekreaci umístěné na území obce, snižuje o jednu dvanáctinu za každý kalendářní měsíc, na jehož </w:t>
      </w:r>
      <w:proofErr w:type="gramStart"/>
      <w:r w:rsidRPr="006B64EB">
        <w:rPr>
          <w:rFonts w:ascii="Verdana" w:hAnsi="Verdana" w:cs="Arial"/>
          <w:sz w:val="20"/>
          <w:szCs w:val="20"/>
        </w:rPr>
        <w:t>konci</w:t>
      </w:r>
      <w:proofErr w:type="gramEnd"/>
      <w:r w:rsidRPr="006B64EB">
        <w:rPr>
          <w:rStyle w:val="Znakapoznpodarou"/>
          <w:rFonts w:ascii="Verdana" w:hAnsi="Verdana" w:cs="Arial"/>
          <w:sz w:val="20"/>
          <w:szCs w:val="20"/>
        </w:rPr>
        <w:footnoteReference w:id="11"/>
      </w:r>
    </w:p>
    <w:p w:rsidR="004730FB" w:rsidRPr="006B64EB" w:rsidRDefault="004730FB" w:rsidP="004730FB">
      <w:pPr>
        <w:spacing w:before="120" w:after="60" w:line="264" w:lineRule="auto"/>
        <w:ind w:left="567"/>
        <w:jc w:val="both"/>
        <w:rPr>
          <w:rFonts w:ascii="Verdana" w:hAnsi="Verdana" w:cs="Arial"/>
          <w:sz w:val="20"/>
          <w:szCs w:val="20"/>
        </w:rPr>
      </w:pPr>
      <w:r w:rsidRPr="006B64EB">
        <w:rPr>
          <w:rFonts w:ascii="Verdana" w:hAnsi="Verdana" w:cs="Arial"/>
          <w:sz w:val="20"/>
          <w:szCs w:val="20"/>
        </w:rPr>
        <w:t>a) je v této nemovité věci přihlášena alespoň 1 fyzická osoba,</w:t>
      </w:r>
    </w:p>
    <w:p w:rsidR="004730FB" w:rsidRPr="006B64EB" w:rsidRDefault="004730FB" w:rsidP="004730FB">
      <w:pPr>
        <w:spacing w:before="120" w:after="60" w:line="264" w:lineRule="auto"/>
        <w:ind w:left="567"/>
        <w:jc w:val="both"/>
        <w:rPr>
          <w:rFonts w:ascii="Verdana" w:hAnsi="Verdana" w:cs="Arial"/>
          <w:sz w:val="20"/>
          <w:szCs w:val="20"/>
        </w:rPr>
      </w:pPr>
      <w:r w:rsidRPr="006B64EB">
        <w:rPr>
          <w:rFonts w:ascii="Verdana" w:hAnsi="Verdana" w:cs="Arial"/>
          <w:sz w:val="20"/>
          <w:szCs w:val="20"/>
        </w:rPr>
        <w:t>b) poplatník nevlastní tuto nemovitou věc, nebo</w:t>
      </w:r>
    </w:p>
    <w:p w:rsidR="004730FB" w:rsidRPr="006B64EB" w:rsidRDefault="004730FB" w:rsidP="004730FB">
      <w:pPr>
        <w:spacing w:before="120" w:after="60" w:line="264" w:lineRule="auto"/>
        <w:ind w:left="567"/>
        <w:jc w:val="both"/>
        <w:rPr>
          <w:rFonts w:ascii="Verdana" w:hAnsi="Verdana" w:cs="Arial"/>
          <w:i/>
          <w:color w:val="0070C0"/>
          <w:sz w:val="20"/>
          <w:szCs w:val="20"/>
        </w:rPr>
      </w:pPr>
      <w:r w:rsidRPr="006B64EB">
        <w:rPr>
          <w:rFonts w:ascii="Verdana" w:hAnsi="Verdana" w:cs="Arial"/>
          <w:sz w:val="20"/>
          <w:szCs w:val="20"/>
        </w:rPr>
        <w:t>c) je poplatník od poplatku osvobozen</w:t>
      </w:r>
      <w:r w:rsidRPr="006B64EB">
        <w:rPr>
          <w:rFonts w:ascii="Verdana" w:hAnsi="Verdana" w:cs="Arial"/>
          <w:i/>
          <w:color w:val="0070C0"/>
          <w:sz w:val="20"/>
          <w:szCs w:val="20"/>
        </w:rPr>
        <w:t>.</w:t>
      </w:r>
    </w:p>
    <w:p w:rsidR="004730FB" w:rsidRPr="006B64EB" w:rsidRDefault="004730FB" w:rsidP="004730FB">
      <w:pPr>
        <w:spacing w:before="120"/>
        <w:rPr>
          <w:rFonts w:ascii="Verdana" w:hAnsi="Verdana" w:cs="Arial"/>
          <w:i/>
          <w:color w:val="0070C0"/>
          <w:sz w:val="20"/>
          <w:szCs w:val="20"/>
        </w:rPr>
      </w:pPr>
    </w:p>
    <w:p w:rsidR="004730FB" w:rsidRPr="006B64EB" w:rsidRDefault="004730FB" w:rsidP="004730FB">
      <w:pPr>
        <w:pStyle w:val="slalnk"/>
        <w:spacing w:before="480"/>
        <w:rPr>
          <w:rFonts w:ascii="Verdana" w:hAnsi="Verdana" w:cs="Arial"/>
          <w:sz w:val="20"/>
        </w:rPr>
      </w:pPr>
      <w:r w:rsidRPr="006B64EB">
        <w:rPr>
          <w:rFonts w:ascii="Verdana" w:hAnsi="Verdana" w:cs="Arial"/>
          <w:sz w:val="20"/>
        </w:rPr>
        <w:t>Čl. 6</w:t>
      </w:r>
    </w:p>
    <w:p w:rsidR="004730FB" w:rsidRPr="006B64EB" w:rsidRDefault="004730FB" w:rsidP="004730FB">
      <w:pPr>
        <w:pStyle w:val="Nzvylnk"/>
        <w:rPr>
          <w:rFonts w:ascii="Verdana" w:hAnsi="Verdana" w:cs="Arial"/>
          <w:sz w:val="20"/>
        </w:rPr>
      </w:pPr>
      <w:r w:rsidRPr="006B64EB">
        <w:rPr>
          <w:rFonts w:ascii="Verdana" w:hAnsi="Verdana" w:cs="Arial"/>
          <w:sz w:val="20"/>
        </w:rPr>
        <w:t>Splatnost poplatku</w:t>
      </w:r>
    </w:p>
    <w:p w:rsidR="004730FB" w:rsidRPr="006B64EB" w:rsidRDefault="004730FB" w:rsidP="004730FB">
      <w:pPr>
        <w:numPr>
          <w:ilvl w:val="0"/>
          <w:numId w:val="23"/>
        </w:numPr>
        <w:spacing w:before="120" w:line="264" w:lineRule="auto"/>
        <w:jc w:val="both"/>
        <w:rPr>
          <w:rFonts w:ascii="Verdana" w:hAnsi="Verdana" w:cs="Arial"/>
          <w:sz w:val="20"/>
          <w:szCs w:val="20"/>
        </w:rPr>
      </w:pPr>
      <w:r w:rsidRPr="006B64EB">
        <w:rPr>
          <w:rFonts w:ascii="Verdana" w:hAnsi="Verdana" w:cs="Arial"/>
          <w:sz w:val="20"/>
          <w:szCs w:val="20"/>
        </w:rPr>
        <w:t xml:space="preserve">Poplatek je splatný jednorázově, a to nejpozději do 30. 9. příslušného kalendářního roku. </w:t>
      </w:r>
    </w:p>
    <w:p w:rsidR="004730FB" w:rsidRPr="006B64EB" w:rsidRDefault="004730FB" w:rsidP="004730FB">
      <w:pPr>
        <w:numPr>
          <w:ilvl w:val="0"/>
          <w:numId w:val="23"/>
        </w:numPr>
        <w:spacing w:before="120" w:line="264" w:lineRule="auto"/>
        <w:jc w:val="both"/>
        <w:rPr>
          <w:rFonts w:ascii="Verdana" w:hAnsi="Verdana" w:cs="Arial"/>
          <w:sz w:val="20"/>
          <w:szCs w:val="20"/>
        </w:rPr>
      </w:pPr>
      <w:r w:rsidRPr="006B64EB">
        <w:rPr>
          <w:rFonts w:ascii="Verdana" w:hAnsi="Verdana" w:cs="Arial"/>
          <w:sz w:val="20"/>
          <w:szCs w:val="20"/>
        </w:rPr>
        <w:lastRenderedPageBreak/>
        <w:t xml:space="preserve">Vznikne-li poplatková povinnost po datu splatnosti uvedeném v odstavci 1, je poplatek splatný nejpozději do 15. dne měsíce, který následuje po měsíci, ve kterém poplatková povinnost vznikla. </w:t>
      </w:r>
    </w:p>
    <w:p w:rsidR="004730FB" w:rsidRPr="006B64EB" w:rsidRDefault="004730FB" w:rsidP="004730FB">
      <w:pPr>
        <w:numPr>
          <w:ilvl w:val="0"/>
          <w:numId w:val="23"/>
        </w:numPr>
        <w:spacing w:before="120" w:line="264" w:lineRule="auto"/>
        <w:jc w:val="both"/>
        <w:rPr>
          <w:rFonts w:ascii="Verdana" w:hAnsi="Verdana" w:cs="Arial"/>
          <w:sz w:val="20"/>
          <w:szCs w:val="20"/>
        </w:rPr>
      </w:pPr>
      <w:r w:rsidRPr="006B64EB">
        <w:rPr>
          <w:rFonts w:ascii="Verdana" w:hAnsi="Verdana" w:cs="Arial"/>
          <w:sz w:val="20"/>
          <w:szCs w:val="20"/>
        </w:rPr>
        <w:t xml:space="preserve">Lhůta splatnosti neskončí poplatníkovi dříve než lhůta pro podání ohlášení podle čl. 4 odst. 1 této vyhlášky. </w:t>
      </w:r>
    </w:p>
    <w:p w:rsidR="004730FB" w:rsidRPr="006B64EB" w:rsidRDefault="004730FB" w:rsidP="004730FB">
      <w:pPr>
        <w:pStyle w:val="slalnk"/>
        <w:spacing w:before="480"/>
        <w:rPr>
          <w:rFonts w:ascii="Verdana" w:hAnsi="Verdana" w:cs="Arial"/>
          <w:sz w:val="20"/>
        </w:rPr>
      </w:pPr>
      <w:r w:rsidRPr="006B64EB">
        <w:rPr>
          <w:rFonts w:ascii="Verdana" w:hAnsi="Verdana" w:cs="Arial"/>
          <w:sz w:val="20"/>
        </w:rPr>
        <w:t>Čl. 7</w:t>
      </w:r>
    </w:p>
    <w:p w:rsidR="004730FB" w:rsidRPr="006B64EB" w:rsidRDefault="004730FB" w:rsidP="004730FB">
      <w:pPr>
        <w:pStyle w:val="Nzvylnk"/>
        <w:rPr>
          <w:rFonts w:ascii="Verdana" w:hAnsi="Verdana" w:cs="Arial"/>
          <w:sz w:val="20"/>
        </w:rPr>
      </w:pPr>
      <w:r w:rsidRPr="006B64EB">
        <w:rPr>
          <w:rFonts w:ascii="Verdana" w:hAnsi="Verdana" w:cs="Arial"/>
          <w:sz w:val="20"/>
        </w:rPr>
        <w:t xml:space="preserve">Osvobození </w:t>
      </w:r>
    </w:p>
    <w:p w:rsidR="004730FB" w:rsidRPr="006B64EB" w:rsidRDefault="004730FB" w:rsidP="004730FB">
      <w:pPr>
        <w:pStyle w:val="Default"/>
        <w:numPr>
          <w:ilvl w:val="0"/>
          <w:numId w:val="28"/>
        </w:numPr>
        <w:rPr>
          <w:sz w:val="20"/>
          <w:szCs w:val="20"/>
        </w:rPr>
      </w:pPr>
      <w:r w:rsidRPr="006B64EB">
        <w:rPr>
          <w:sz w:val="20"/>
          <w:szCs w:val="20"/>
        </w:rPr>
        <w:t>Od poplatku je osvobozena osoba, které poplatková povinnost vznikla z důvodu přihlášení v obci a která je</w:t>
      </w:r>
      <w:r w:rsidRPr="006B64EB">
        <w:rPr>
          <w:rStyle w:val="Znakapoznpodarou"/>
          <w:sz w:val="20"/>
          <w:szCs w:val="20"/>
        </w:rPr>
        <w:footnoteReference w:id="12"/>
      </w:r>
      <w:r w:rsidRPr="006B64EB">
        <w:rPr>
          <w:sz w:val="20"/>
          <w:szCs w:val="20"/>
        </w:rPr>
        <w:t xml:space="preserve"> </w:t>
      </w:r>
    </w:p>
    <w:p w:rsidR="004730FB" w:rsidRPr="006B64EB" w:rsidRDefault="004730FB" w:rsidP="004730FB">
      <w:pPr>
        <w:pStyle w:val="Default"/>
        <w:numPr>
          <w:ilvl w:val="1"/>
          <w:numId w:val="28"/>
        </w:numPr>
        <w:rPr>
          <w:color w:val="auto"/>
          <w:sz w:val="20"/>
          <w:szCs w:val="20"/>
        </w:rPr>
      </w:pPr>
      <w:r w:rsidRPr="006B64EB">
        <w:rPr>
          <w:sz w:val="20"/>
          <w:szCs w:val="20"/>
        </w:rPr>
        <w:t xml:space="preserve">poplatníkem poplatku za odkládání komunálního odpadu z nemovité věci v jiné obci a má v této jiné obci bydliště, </w:t>
      </w:r>
    </w:p>
    <w:p w:rsidR="004730FB" w:rsidRPr="006B64EB" w:rsidRDefault="004730FB" w:rsidP="004730FB">
      <w:pPr>
        <w:pStyle w:val="Default"/>
        <w:numPr>
          <w:ilvl w:val="1"/>
          <w:numId w:val="28"/>
        </w:numPr>
        <w:spacing w:after="53"/>
        <w:rPr>
          <w:color w:val="auto"/>
          <w:sz w:val="20"/>
          <w:szCs w:val="20"/>
        </w:rPr>
      </w:pPr>
      <w:r w:rsidRPr="006B64EB">
        <w:rPr>
          <w:color w:val="auto"/>
          <w:sz w:val="20"/>
          <w:szCs w:val="20"/>
        </w:rPr>
        <w:t xml:space="preserve">umístěna do dětského domova pro děti do 3 let věku, školského zařízení pro výkon ústavní nebo ochranné výchovy nebo školského zařízení pro preventivně výchovnou péči na základě rozhodnutí soudu nebo smlouvy, </w:t>
      </w:r>
    </w:p>
    <w:p w:rsidR="004730FB" w:rsidRPr="006B64EB" w:rsidRDefault="004730FB" w:rsidP="004730FB">
      <w:pPr>
        <w:pStyle w:val="Default"/>
        <w:numPr>
          <w:ilvl w:val="1"/>
          <w:numId w:val="28"/>
        </w:numPr>
        <w:spacing w:after="53"/>
        <w:rPr>
          <w:color w:val="auto"/>
          <w:sz w:val="20"/>
          <w:szCs w:val="20"/>
        </w:rPr>
      </w:pPr>
      <w:r w:rsidRPr="006B64EB">
        <w:rPr>
          <w:color w:val="auto"/>
          <w:sz w:val="20"/>
          <w:szCs w:val="20"/>
        </w:rPr>
        <w:t xml:space="preserve">umístěna do zařízení pro děti vyžadující okamžitou pomoc na základě rozhodnutí soudu, na žádost obecního úřadu obce s rozšířenou působností, zákonného zástupce dítěte nebo nezletilého, </w:t>
      </w:r>
    </w:p>
    <w:p w:rsidR="004730FB" w:rsidRPr="006B64EB" w:rsidRDefault="004730FB" w:rsidP="004730FB">
      <w:pPr>
        <w:pStyle w:val="Default"/>
        <w:numPr>
          <w:ilvl w:val="1"/>
          <w:numId w:val="28"/>
        </w:numPr>
        <w:spacing w:after="53"/>
        <w:rPr>
          <w:color w:val="auto"/>
          <w:sz w:val="20"/>
          <w:szCs w:val="20"/>
        </w:rPr>
      </w:pPr>
      <w:r w:rsidRPr="006B64EB">
        <w:rPr>
          <w:color w:val="auto"/>
          <w:sz w:val="20"/>
          <w:szCs w:val="20"/>
        </w:rPr>
        <w:t xml:space="preserve">umístěna v domově pro osoby se zdravotním postižením, domově pro seniory, domově se zvláštním režimem nebo v chráněném bydlení, nebo </w:t>
      </w:r>
    </w:p>
    <w:p w:rsidR="004730FB" w:rsidRPr="006B64EB" w:rsidRDefault="004730FB" w:rsidP="004730FB">
      <w:pPr>
        <w:pStyle w:val="Default"/>
        <w:numPr>
          <w:ilvl w:val="1"/>
          <w:numId w:val="28"/>
        </w:numPr>
        <w:rPr>
          <w:color w:val="auto"/>
          <w:sz w:val="20"/>
          <w:szCs w:val="20"/>
        </w:rPr>
      </w:pPr>
      <w:r w:rsidRPr="006B64EB">
        <w:rPr>
          <w:color w:val="auto"/>
          <w:sz w:val="20"/>
          <w:szCs w:val="20"/>
        </w:rPr>
        <w:t xml:space="preserve">na základě zákona omezena na osobní svobodě s výjimkou osoby vykonávající trest domácího vězení. </w:t>
      </w:r>
    </w:p>
    <w:p w:rsidR="004730FB" w:rsidRPr="006B64EB" w:rsidRDefault="004730FB" w:rsidP="004730FB">
      <w:pPr>
        <w:numPr>
          <w:ilvl w:val="0"/>
          <w:numId w:val="28"/>
        </w:numPr>
        <w:spacing w:before="120" w:line="264" w:lineRule="auto"/>
        <w:jc w:val="both"/>
        <w:rPr>
          <w:rFonts w:ascii="Verdana" w:hAnsi="Verdana" w:cs="Arial"/>
          <w:sz w:val="20"/>
          <w:szCs w:val="20"/>
        </w:rPr>
      </w:pPr>
      <w:r w:rsidRPr="006B64EB">
        <w:rPr>
          <w:rFonts w:ascii="Verdana" w:hAnsi="Verdana" w:cs="Arial"/>
          <w:sz w:val="20"/>
          <w:szCs w:val="20"/>
        </w:rPr>
        <w:t>Od poplatku se osvobozuje osoba, které poplatková povinnost vznikla z důvodu přihlášení v</w:t>
      </w:r>
      <w:r>
        <w:rPr>
          <w:rFonts w:ascii="Verdana" w:hAnsi="Verdana" w:cs="Arial"/>
          <w:sz w:val="20"/>
          <w:szCs w:val="20"/>
        </w:rPr>
        <w:t> </w:t>
      </w:r>
      <w:r w:rsidRPr="006B64EB">
        <w:rPr>
          <w:rFonts w:ascii="Verdana" w:hAnsi="Verdana" w:cs="Arial"/>
          <w:sz w:val="20"/>
          <w:szCs w:val="20"/>
        </w:rPr>
        <w:t>obci</w:t>
      </w:r>
      <w:r>
        <w:rPr>
          <w:rFonts w:ascii="Verdana" w:hAnsi="Verdana" w:cs="Arial"/>
          <w:sz w:val="20"/>
          <w:szCs w:val="20"/>
        </w:rPr>
        <w:t>,</w:t>
      </w:r>
      <w:r w:rsidRPr="006B64EB">
        <w:rPr>
          <w:rFonts w:ascii="Verdana" w:hAnsi="Verdana" w:cs="Arial"/>
          <w:sz w:val="20"/>
          <w:szCs w:val="20"/>
        </w:rPr>
        <w:t xml:space="preserve"> a která</w:t>
      </w:r>
    </w:p>
    <w:p w:rsidR="004730FB" w:rsidRPr="006B64EB" w:rsidRDefault="004730FB" w:rsidP="004730FB">
      <w:pPr>
        <w:numPr>
          <w:ilvl w:val="1"/>
          <w:numId w:val="28"/>
        </w:numPr>
        <w:spacing w:line="264" w:lineRule="auto"/>
        <w:jc w:val="both"/>
        <w:rPr>
          <w:rFonts w:ascii="Verdana" w:hAnsi="Verdana" w:cs="Arial"/>
          <w:sz w:val="20"/>
          <w:szCs w:val="20"/>
        </w:rPr>
      </w:pPr>
      <w:r w:rsidRPr="006B64EB">
        <w:rPr>
          <w:rFonts w:ascii="Verdana" w:hAnsi="Verdana" w:cs="Arial"/>
          <w:sz w:val="20"/>
          <w:szCs w:val="20"/>
        </w:rPr>
        <w:t>dovrší 80 a více let v příslušném kalendářním roce</w:t>
      </w:r>
    </w:p>
    <w:p w:rsidR="004730FB" w:rsidRPr="006B64EB" w:rsidRDefault="004730FB" w:rsidP="004730FB">
      <w:pPr>
        <w:numPr>
          <w:ilvl w:val="1"/>
          <w:numId w:val="28"/>
        </w:numPr>
        <w:spacing w:line="264" w:lineRule="auto"/>
        <w:jc w:val="both"/>
        <w:rPr>
          <w:rFonts w:ascii="Verdana" w:hAnsi="Verdana" w:cs="Arial"/>
          <w:sz w:val="20"/>
          <w:szCs w:val="20"/>
        </w:rPr>
      </w:pPr>
      <w:r w:rsidRPr="006B64EB">
        <w:rPr>
          <w:rFonts w:ascii="Verdana" w:hAnsi="Verdana" w:cs="Arial"/>
          <w:sz w:val="20"/>
          <w:szCs w:val="20"/>
        </w:rPr>
        <w:t>je narozena v příslušném kalendářním roce</w:t>
      </w:r>
    </w:p>
    <w:p w:rsidR="004730FB" w:rsidRPr="006B64EB" w:rsidRDefault="004730FB" w:rsidP="004730FB">
      <w:pPr>
        <w:numPr>
          <w:ilvl w:val="1"/>
          <w:numId w:val="28"/>
        </w:numPr>
        <w:spacing w:line="264" w:lineRule="auto"/>
        <w:jc w:val="both"/>
        <w:rPr>
          <w:rFonts w:ascii="Verdana" w:hAnsi="Verdana" w:cs="Arial"/>
          <w:sz w:val="20"/>
          <w:szCs w:val="20"/>
        </w:rPr>
      </w:pPr>
      <w:proofErr w:type="gramStart"/>
      <w:r w:rsidRPr="006B64EB">
        <w:rPr>
          <w:rFonts w:ascii="Verdana" w:hAnsi="Verdana" w:cs="Arial"/>
          <w:sz w:val="20"/>
          <w:szCs w:val="20"/>
        </w:rPr>
        <w:t>se zdržuje</w:t>
      </w:r>
      <w:proofErr w:type="gramEnd"/>
      <w:r w:rsidRPr="006B64EB">
        <w:rPr>
          <w:rFonts w:ascii="Verdana" w:hAnsi="Verdana" w:cs="Arial"/>
          <w:sz w:val="20"/>
          <w:szCs w:val="20"/>
        </w:rPr>
        <w:t xml:space="preserve"> mimo území Kutné Hory déle než jeden rok z důvodu pobytu v zahraničí</w:t>
      </w:r>
    </w:p>
    <w:p w:rsidR="004730FB" w:rsidRPr="006B64EB" w:rsidRDefault="004730FB" w:rsidP="004730FB">
      <w:pPr>
        <w:spacing w:line="264" w:lineRule="auto"/>
        <w:ind w:left="1021"/>
        <w:jc w:val="both"/>
        <w:rPr>
          <w:rFonts w:ascii="Verdana" w:hAnsi="Verdana" w:cs="Arial"/>
          <w:sz w:val="20"/>
          <w:szCs w:val="20"/>
        </w:rPr>
      </w:pPr>
    </w:p>
    <w:p w:rsidR="004730FB" w:rsidRPr="00072643" w:rsidRDefault="004730FB" w:rsidP="004730FB">
      <w:pPr>
        <w:numPr>
          <w:ilvl w:val="0"/>
          <w:numId w:val="28"/>
        </w:numPr>
        <w:spacing w:before="120" w:line="264" w:lineRule="auto"/>
        <w:jc w:val="both"/>
        <w:rPr>
          <w:rFonts w:ascii="Verdana" w:hAnsi="Verdana" w:cs="Arial"/>
          <w:sz w:val="20"/>
          <w:szCs w:val="20"/>
        </w:rPr>
      </w:pPr>
      <w:r w:rsidRPr="00072643">
        <w:rPr>
          <w:rFonts w:ascii="Verdana" w:hAnsi="Verdana" w:cs="Arial"/>
          <w:sz w:val="20"/>
          <w:szCs w:val="20"/>
        </w:rPr>
        <w:t>Od poplatku se osvobozuje osoba, které poplatková povinnost vznikla z důvodu vlastnictví nemovité věci zahrnující byt, rodinný dům nebo stavbu pro rodinnou rekreaci, ve které není přihlášená žádná fyzická osoba a která se nachází na území této obce, a  která dovrší 80 a více let v příslušném kalendářním roce</w:t>
      </w:r>
    </w:p>
    <w:p w:rsidR="004730FB" w:rsidRPr="006B64EB" w:rsidRDefault="004730FB" w:rsidP="004730FB">
      <w:pPr>
        <w:spacing w:line="264" w:lineRule="auto"/>
        <w:jc w:val="both"/>
        <w:rPr>
          <w:rFonts w:ascii="Verdana" w:hAnsi="Verdana" w:cs="Arial"/>
          <w:sz w:val="20"/>
          <w:szCs w:val="20"/>
        </w:rPr>
      </w:pPr>
    </w:p>
    <w:p w:rsidR="004730FB" w:rsidRPr="006B64EB" w:rsidRDefault="004730FB" w:rsidP="004730FB">
      <w:pPr>
        <w:pStyle w:val="Odstavecseseznamem"/>
        <w:numPr>
          <w:ilvl w:val="0"/>
          <w:numId w:val="28"/>
        </w:numPr>
        <w:spacing w:before="120" w:line="264" w:lineRule="auto"/>
        <w:contextualSpacing w:val="0"/>
        <w:jc w:val="both"/>
        <w:rPr>
          <w:rFonts w:ascii="Verdana" w:hAnsi="Verdana" w:cs="Arial"/>
          <w:sz w:val="20"/>
          <w:szCs w:val="20"/>
        </w:rPr>
      </w:pPr>
      <w:r w:rsidRPr="006B64EB">
        <w:rPr>
          <w:rFonts w:ascii="Verdana" w:hAnsi="Verdana" w:cs="Arial"/>
          <w:sz w:val="20"/>
          <w:szCs w:val="20"/>
        </w:rPr>
        <w:t>V případě, že poplatník nesplní povinnost ohlásit údaj rozhodný pro osvobození nebo úlevu do 30. 9. příslušného kalendářního roku, nárok na osvobození zaniká.</w:t>
      </w:r>
      <w:r w:rsidRPr="006B64EB">
        <w:rPr>
          <w:rStyle w:val="Znakapoznpodarou"/>
          <w:rFonts w:ascii="Verdana" w:hAnsi="Verdana" w:cs="Arial"/>
          <w:sz w:val="20"/>
          <w:szCs w:val="20"/>
        </w:rPr>
        <w:footnoteReference w:id="13"/>
      </w:r>
    </w:p>
    <w:p w:rsidR="004730FB" w:rsidRPr="006B64EB" w:rsidRDefault="004730FB" w:rsidP="004730FB">
      <w:pPr>
        <w:pStyle w:val="Odstavecseseznamem"/>
        <w:numPr>
          <w:ilvl w:val="0"/>
          <w:numId w:val="28"/>
        </w:numPr>
        <w:spacing w:before="120" w:line="264" w:lineRule="auto"/>
        <w:contextualSpacing w:val="0"/>
        <w:jc w:val="both"/>
        <w:rPr>
          <w:rFonts w:ascii="Verdana" w:hAnsi="Verdana" w:cs="Arial"/>
          <w:sz w:val="20"/>
          <w:szCs w:val="20"/>
        </w:rPr>
      </w:pPr>
      <w:r w:rsidRPr="006B64EB">
        <w:rPr>
          <w:rFonts w:ascii="Verdana" w:hAnsi="Verdana" w:cs="Arial"/>
          <w:sz w:val="20"/>
          <w:szCs w:val="20"/>
        </w:rPr>
        <w:t xml:space="preserve">Vznikne-li poplatková povinnost po </w:t>
      </w:r>
      <w:proofErr w:type="gramStart"/>
      <w:r w:rsidRPr="006B64EB">
        <w:rPr>
          <w:rFonts w:ascii="Verdana" w:hAnsi="Verdana" w:cs="Arial"/>
          <w:sz w:val="20"/>
          <w:szCs w:val="20"/>
        </w:rPr>
        <w:t>30.9. příslušného</w:t>
      </w:r>
      <w:proofErr w:type="gramEnd"/>
      <w:r w:rsidRPr="006B64EB">
        <w:rPr>
          <w:rFonts w:ascii="Verdana" w:hAnsi="Verdana" w:cs="Arial"/>
          <w:sz w:val="20"/>
          <w:szCs w:val="20"/>
        </w:rPr>
        <w:t xml:space="preserve"> kalendářního roku je poplatník </w:t>
      </w:r>
      <w:proofErr w:type="spellStart"/>
      <w:r w:rsidRPr="006B64EB">
        <w:rPr>
          <w:rFonts w:ascii="Verdana" w:hAnsi="Verdana" w:cs="Arial"/>
          <w:sz w:val="20"/>
          <w:szCs w:val="20"/>
        </w:rPr>
        <w:t>povinnen</w:t>
      </w:r>
      <w:proofErr w:type="spellEnd"/>
      <w:r w:rsidRPr="006B64EB">
        <w:rPr>
          <w:rFonts w:ascii="Verdana" w:hAnsi="Verdana" w:cs="Arial"/>
          <w:sz w:val="20"/>
          <w:szCs w:val="20"/>
        </w:rPr>
        <w:t xml:space="preserve"> ohlásit údaj rozhodný pro osvobození do 30 dnů ode dne vzniku poplatkové povinnosti jinak nárok na </w:t>
      </w:r>
      <w:proofErr w:type="spellStart"/>
      <w:r w:rsidRPr="006B64EB">
        <w:rPr>
          <w:rFonts w:ascii="Verdana" w:hAnsi="Verdana" w:cs="Arial"/>
          <w:sz w:val="20"/>
          <w:szCs w:val="20"/>
        </w:rPr>
        <w:t>osvození</w:t>
      </w:r>
      <w:proofErr w:type="spellEnd"/>
      <w:r w:rsidRPr="006B64EB">
        <w:rPr>
          <w:rFonts w:ascii="Verdana" w:hAnsi="Verdana" w:cs="Arial"/>
          <w:sz w:val="20"/>
          <w:szCs w:val="20"/>
        </w:rPr>
        <w:t xml:space="preserve"> zaniká. </w:t>
      </w:r>
    </w:p>
    <w:p w:rsidR="004730FB" w:rsidRPr="006B64EB" w:rsidRDefault="004730FB" w:rsidP="004730FB">
      <w:pPr>
        <w:pStyle w:val="slalnk"/>
        <w:spacing w:before="480"/>
        <w:rPr>
          <w:rFonts w:ascii="Verdana" w:hAnsi="Verdana" w:cs="Arial"/>
          <w:sz w:val="20"/>
        </w:rPr>
      </w:pPr>
      <w:bookmarkStart w:id="0" w:name="_GoBack"/>
      <w:bookmarkEnd w:id="0"/>
      <w:r w:rsidRPr="006B64EB">
        <w:rPr>
          <w:rFonts w:ascii="Verdana" w:hAnsi="Verdana" w:cs="Arial"/>
          <w:sz w:val="20"/>
        </w:rPr>
        <w:t>Čl. 8</w:t>
      </w:r>
    </w:p>
    <w:p w:rsidR="004730FB" w:rsidRPr="006B64EB" w:rsidRDefault="004730FB" w:rsidP="004730FB">
      <w:pPr>
        <w:pStyle w:val="Nzvylnk"/>
        <w:rPr>
          <w:rFonts w:ascii="Verdana" w:hAnsi="Verdana" w:cs="Arial"/>
          <w:sz w:val="20"/>
        </w:rPr>
      </w:pPr>
      <w:r w:rsidRPr="006B64EB">
        <w:rPr>
          <w:rFonts w:ascii="Verdana" w:hAnsi="Verdana" w:cs="Arial"/>
          <w:sz w:val="20"/>
        </w:rPr>
        <w:t>Navýšení poplatku</w:t>
      </w:r>
      <w:r w:rsidRPr="006B64EB">
        <w:rPr>
          <w:rFonts w:ascii="Verdana" w:hAnsi="Verdana"/>
          <w:sz w:val="20"/>
        </w:rPr>
        <w:t xml:space="preserve"> </w:t>
      </w:r>
    </w:p>
    <w:p w:rsidR="004730FB" w:rsidRPr="006B64EB" w:rsidRDefault="004730FB" w:rsidP="004730FB">
      <w:pPr>
        <w:numPr>
          <w:ilvl w:val="0"/>
          <w:numId w:val="24"/>
        </w:numPr>
        <w:spacing w:before="120" w:line="264" w:lineRule="auto"/>
        <w:jc w:val="both"/>
        <w:rPr>
          <w:rFonts w:ascii="Verdana" w:hAnsi="Verdana" w:cs="Arial"/>
          <w:sz w:val="20"/>
          <w:szCs w:val="20"/>
        </w:rPr>
      </w:pPr>
      <w:r w:rsidRPr="006B64EB">
        <w:rPr>
          <w:rFonts w:ascii="Verdana" w:hAnsi="Verdana" w:cs="Arial"/>
          <w:sz w:val="20"/>
          <w:szCs w:val="20"/>
        </w:rPr>
        <w:t>Nebudou-li poplatky zaplaceny poplatníkem včas nebo ve správné výši, vyměří mu správce poplatku poplatek platebním výměrem nebo hromadným předpisným seznamem.</w:t>
      </w:r>
      <w:r w:rsidRPr="006B64EB">
        <w:rPr>
          <w:rStyle w:val="Znakapoznpodarou"/>
          <w:rFonts w:ascii="Verdana" w:hAnsi="Verdana" w:cs="Arial"/>
          <w:sz w:val="20"/>
          <w:szCs w:val="20"/>
        </w:rPr>
        <w:footnoteReference w:id="14"/>
      </w:r>
    </w:p>
    <w:p w:rsidR="004730FB" w:rsidRPr="006B64EB" w:rsidRDefault="004730FB" w:rsidP="004730FB">
      <w:pPr>
        <w:numPr>
          <w:ilvl w:val="0"/>
          <w:numId w:val="24"/>
        </w:numPr>
        <w:spacing w:before="120" w:line="264" w:lineRule="auto"/>
        <w:jc w:val="both"/>
        <w:rPr>
          <w:rFonts w:ascii="Verdana" w:hAnsi="Verdana" w:cs="Arial"/>
          <w:sz w:val="20"/>
          <w:szCs w:val="20"/>
        </w:rPr>
      </w:pPr>
      <w:r w:rsidRPr="006B64EB">
        <w:rPr>
          <w:rFonts w:ascii="Verdana" w:hAnsi="Verdana" w:cs="Arial"/>
          <w:sz w:val="20"/>
          <w:szCs w:val="20"/>
        </w:rPr>
        <w:t>Včas nezaplacené poplatky nebo část těchto poplatků může správce poplatku zvýšit až na trojnásobek; toto zvýšení je příslušenstvím poplatku sledujícím jeho osud.</w:t>
      </w:r>
      <w:r w:rsidRPr="006B64EB">
        <w:rPr>
          <w:rStyle w:val="Znakapoznpodarou"/>
          <w:rFonts w:ascii="Verdana" w:hAnsi="Verdana" w:cs="Arial"/>
          <w:sz w:val="20"/>
          <w:szCs w:val="20"/>
        </w:rPr>
        <w:footnoteReference w:id="15"/>
      </w:r>
    </w:p>
    <w:p w:rsidR="004730FB" w:rsidRPr="006B64EB" w:rsidRDefault="004730FB" w:rsidP="004730FB">
      <w:pPr>
        <w:pStyle w:val="slalnk"/>
        <w:spacing w:before="480"/>
        <w:rPr>
          <w:rFonts w:ascii="Verdana" w:hAnsi="Verdana" w:cs="Arial"/>
          <w:sz w:val="20"/>
        </w:rPr>
      </w:pPr>
      <w:r w:rsidRPr="006B64EB">
        <w:rPr>
          <w:rFonts w:ascii="Verdana" w:hAnsi="Verdana" w:cs="Arial"/>
          <w:sz w:val="20"/>
        </w:rPr>
        <w:lastRenderedPageBreak/>
        <w:t>Čl. 9</w:t>
      </w:r>
    </w:p>
    <w:p w:rsidR="004730FB" w:rsidRPr="006B64EB" w:rsidRDefault="004730FB" w:rsidP="004730FB">
      <w:pPr>
        <w:pStyle w:val="slalnk"/>
        <w:spacing w:before="60" w:after="160"/>
        <w:rPr>
          <w:rFonts w:ascii="Verdana" w:hAnsi="Verdana" w:cs="Arial"/>
          <w:sz w:val="20"/>
        </w:rPr>
      </w:pPr>
      <w:r w:rsidRPr="006B64EB">
        <w:rPr>
          <w:rFonts w:ascii="Verdana" w:hAnsi="Verdana" w:cs="Arial"/>
          <w:sz w:val="20"/>
        </w:rPr>
        <w:t>Odpovědnost za zaplacení poplatku</w:t>
      </w:r>
      <w:r w:rsidRPr="006B64EB">
        <w:rPr>
          <w:rStyle w:val="Znakapoznpodarou"/>
          <w:rFonts w:ascii="Verdana" w:hAnsi="Verdana" w:cs="Arial"/>
          <w:sz w:val="20"/>
        </w:rPr>
        <w:footnoteReference w:id="16"/>
      </w:r>
    </w:p>
    <w:p w:rsidR="004730FB" w:rsidRPr="006B64EB" w:rsidRDefault="004730FB" w:rsidP="004730FB">
      <w:pPr>
        <w:numPr>
          <w:ilvl w:val="0"/>
          <w:numId w:val="25"/>
        </w:numPr>
        <w:spacing w:before="120" w:line="264" w:lineRule="auto"/>
        <w:jc w:val="both"/>
        <w:rPr>
          <w:rFonts w:ascii="Verdana" w:hAnsi="Verdana" w:cs="Arial"/>
          <w:sz w:val="20"/>
          <w:szCs w:val="20"/>
        </w:rPr>
      </w:pPr>
      <w:r w:rsidRPr="006B64EB">
        <w:rPr>
          <w:rFonts w:ascii="Verdana" w:hAnsi="Verdana" w:cs="Arial"/>
          <w:sz w:val="20"/>
          <w:szCs w:val="20"/>
        </w:rPr>
        <w:t xml:space="preserve">Vznikne-li nedoplatek na poplatku poplatníkovi, který je ke dni splatnosti nezletilý </w:t>
      </w:r>
      <w:r w:rsidRPr="006B64EB">
        <w:rPr>
          <w:rFonts w:ascii="Verdana" w:hAnsi="Verdana" w:cs="Arial"/>
          <w:sz w:val="20"/>
          <w:szCs w:val="20"/>
        </w:rPr>
        <w:br/>
        <w:t xml:space="preserve">a nenabyl plné svéprávnosti nebo který je ke dni splatnosti omezen ve svéprávnosti </w:t>
      </w:r>
      <w:r w:rsidRPr="006B64EB">
        <w:rPr>
          <w:rFonts w:ascii="Verdana" w:hAnsi="Verdana" w:cs="Arial"/>
          <w:sz w:val="20"/>
          <w:szCs w:val="20"/>
        </w:rPr>
        <w:br/>
        <w:t>a byl mu jmenován opatrovník spravující jeho jmění, přechází poplatková povinnost tohoto poplatníka na zákonného zástupce nebo tohoto opatrovníka; zákonný zástupce nebo opatrovník má stejné procesní postavení jako poplatník.</w:t>
      </w:r>
    </w:p>
    <w:p w:rsidR="004730FB" w:rsidRPr="006B64EB" w:rsidRDefault="004730FB" w:rsidP="004730FB">
      <w:pPr>
        <w:numPr>
          <w:ilvl w:val="0"/>
          <w:numId w:val="25"/>
        </w:numPr>
        <w:spacing w:before="120" w:line="264" w:lineRule="auto"/>
        <w:jc w:val="both"/>
        <w:rPr>
          <w:rFonts w:ascii="Verdana" w:hAnsi="Verdana" w:cs="Arial"/>
          <w:sz w:val="20"/>
          <w:szCs w:val="20"/>
        </w:rPr>
      </w:pPr>
      <w:r w:rsidRPr="006B64EB">
        <w:rPr>
          <w:rFonts w:ascii="Verdana" w:hAnsi="Verdana" w:cs="Arial"/>
          <w:sz w:val="20"/>
          <w:szCs w:val="20"/>
        </w:rPr>
        <w:t>V případě podle odstavce 1 vyměří správce poplatku poplatek zákonnému zástupci nebo opatrovníkovi poplatníka.</w:t>
      </w:r>
    </w:p>
    <w:p w:rsidR="004730FB" w:rsidRPr="006B64EB" w:rsidRDefault="004730FB" w:rsidP="004730FB">
      <w:pPr>
        <w:numPr>
          <w:ilvl w:val="0"/>
          <w:numId w:val="25"/>
        </w:numPr>
        <w:spacing w:before="120" w:line="264" w:lineRule="auto"/>
        <w:jc w:val="both"/>
        <w:rPr>
          <w:rFonts w:ascii="Verdana" w:hAnsi="Verdana" w:cs="Arial"/>
          <w:sz w:val="20"/>
          <w:szCs w:val="20"/>
        </w:rPr>
      </w:pPr>
      <w:r w:rsidRPr="006B64EB">
        <w:rPr>
          <w:rFonts w:ascii="Verdana" w:hAnsi="Verdana" w:cs="Arial"/>
          <w:sz w:val="20"/>
          <w:szCs w:val="20"/>
        </w:rPr>
        <w:t>Je-li zákonných zástupců nebo opatrovníků více, jsou povinni plnit poplatkovou povinnost společně a nerozdílně.</w:t>
      </w:r>
    </w:p>
    <w:p w:rsidR="004730FB" w:rsidRPr="006B64EB" w:rsidRDefault="004730FB" w:rsidP="004730FB">
      <w:pPr>
        <w:pStyle w:val="slalnk"/>
        <w:spacing w:before="480"/>
        <w:ind w:left="3540" w:firstLine="708"/>
        <w:jc w:val="left"/>
        <w:rPr>
          <w:rFonts w:ascii="Verdana" w:hAnsi="Verdana" w:cs="Arial"/>
          <w:sz w:val="20"/>
        </w:rPr>
      </w:pPr>
      <w:r w:rsidRPr="006B64EB">
        <w:rPr>
          <w:rFonts w:ascii="Verdana" w:hAnsi="Verdana" w:cs="Arial"/>
          <w:sz w:val="20"/>
        </w:rPr>
        <w:t>Čl. 10</w:t>
      </w:r>
    </w:p>
    <w:p w:rsidR="004730FB" w:rsidRPr="006B64EB" w:rsidRDefault="004730FB" w:rsidP="004730FB">
      <w:pPr>
        <w:pStyle w:val="Nzvylnk"/>
        <w:ind w:left="3399" w:firstLine="141"/>
        <w:jc w:val="left"/>
        <w:rPr>
          <w:rFonts w:ascii="Verdana" w:hAnsi="Verdana" w:cs="Arial"/>
          <w:sz w:val="20"/>
        </w:rPr>
      </w:pPr>
      <w:r w:rsidRPr="006B64EB">
        <w:rPr>
          <w:rFonts w:ascii="Verdana" w:hAnsi="Verdana" w:cs="Arial"/>
          <w:sz w:val="20"/>
        </w:rPr>
        <w:t>Společná ustanovení</w:t>
      </w:r>
    </w:p>
    <w:p w:rsidR="004730FB" w:rsidRPr="006B64EB" w:rsidRDefault="004730FB" w:rsidP="004730FB">
      <w:pPr>
        <w:numPr>
          <w:ilvl w:val="0"/>
          <w:numId w:val="26"/>
        </w:numPr>
        <w:spacing w:before="120" w:line="264" w:lineRule="auto"/>
        <w:jc w:val="both"/>
        <w:rPr>
          <w:rFonts w:ascii="Verdana" w:hAnsi="Verdana" w:cs="Arial"/>
          <w:sz w:val="20"/>
          <w:szCs w:val="20"/>
        </w:rPr>
      </w:pPr>
      <w:r w:rsidRPr="006B64EB">
        <w:rPr>
          <w:rFonts w:ascii="Verdana" w:hAnsi="Verdana" w:cs="Arial"/>
          <w:sz w:val="20"/>
          <w:szCs w:val="20"/>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sidRPr="006B64EB">
        <w:rPr>
          <w:rStyle w:val="Znakapoznpodarou"/>
          <w:rFonts w:ascii="Verdana" w:hAnsi="Verdana" w:cs="Arial"/>
          <w:sz w:val="20"/>
          <w:szCs w:val="20"/>
        </w:rPr>
        <w:footnoteReference w:id="17"/>
      </w:r>
    </w:p>
    <w:p w:rsidR="004730FB" w:rsidRPr="006B64EB" w:rsidRDefault="004730FB" w:rsidP="004730FB">
      <w:pPr>
        <w:numPr>
          <w:ilvl w:val="0"/>
          <w:numId w:val="26"/>
        </w:numPr>
        <w:spacing w:before="120" w:line="264" w:lineRule="auto"/>
        <w:jc w:val="both"/>
        <w:rPr>
          <w:rFonts w:ascii="Verdana" w:hAnsi="Verdana" w:cs="Arial"/>
          <w:sz w:val="20"/>
          <w:szCs w:val="20"/>
        </w:rPr>
      </w:pPr>
      <w:r w:rsidRPr="006B64EB">
        <w:rPr>
          <w:rFonts w:ascii="Verdana" w:hAnsi="Verdana" w:cs="Arial"/>
          <w:sz w:val="20"/>
          <w:szCs w:val="20"/>
        </w:rPr>
        <w:t xml:space="preserve">Na </w:t>
      </w:r>
      <w:proofErr w:type="spellStart"/>
      <w:r w:rsidRPr="006B64EB">
        <w:rPr>
          <w:rFonts w:ascii="Verdana" w:hAnsi="Verdana" w:cs="Arial"/>
          <w:sz w:val="20"/>
          <w:szCs w:val="20"/>
        </w:rPr>
        <w:t>svěřenský</w:t>
      </w:r>
      <w:proofErr w:type="spellEnd"/>
      <w:r w:rsidRPr="006B64EB">
        <w:rPr>
          <w:rFonts w:ascii="Verdana" w:hAnsi="Verdana" w:cs="Arial"/>
          <w:sz w:val="20"/>
          <w:szCs w:val="20"/>
        </w:rPr>
        <w:t xml:space="preserve"> fond, podílový fond nebo fond obhospodařovaný penzijní společností, do kterých je vložena nemovitá věc, se pro účely poplatků za komunální odpad hledí jako na vlastníka této nemovité věci.</w:t>
      </w:r>
      <w:r w:rsidRPr="006B64EB">
        <w:rPr>
          <w:rStyle w:val="Znakapoznpodarou"/>
          <w:rFonts w:ascii="Verdana" w:hAnsi="Verdana" w:cs="Arial"/>
          <w:sz w:val="20"/>
          <w:szCs w:val="20"/>
        </w:rPr>
        <w:footnoteReference w:id="18"/>
      </w:r>
    </w:p>
    <w:p w:rsidR="004730FB" w:rsidRPr="006B64EB" w:rsidRDefault="004730FB" w:rsidP="004730FB">
      <w:pPr>
        <w:pStyle w:val="slalnk"/>
        <w:spacing w:before="480"/>
        <w:rPr>
          <w:rFonts w:ascii="Verdana" w:hAnsi="Verdana" w:cs="Arial"/>
          <w:sz w:val="20"/>
        </w:rPr>
      </w:pPr>
      <w:r w:rsidRPr="006B64EB">
        <w:rPr>
          <w:rFonts w:ascii="Verdana" w:hAnsi="Verdana" w:cs="Arial"/>
          <w:sz w:val="20"/>
        </w:rPr>
        <w:t>Čl. 11</w:t>
      </w:r>
    </w:p>
    <w:p w:rsidR="004730FB" w:rsidRPr="006B64EB" w:rsidRDefault="004730FB" w:rsidP="004730FB">
      <w:pPr>
        <w:pStyle w:val="Nzvylnk"/>
        <w:rPr>
          <w:rFonts w:ascii="Verdana" w:hAnsi="Verdana" w:cs="Arial"/>
          <w:sz w:val="20"/>
        </w:rPr>
      </w:pPr>
      <w:r w:rsidRPr="006B64EB">
        <w:rPr>
          <w:rFonts w:ascii="Verdana" w:hAnsi="Verdana" w:cs="Arial"/>
          <w:sz w:val="20"/>
        </w:rPr>
        <w:t>Přechodná ustanovení</w:t>
      </w:r>
    </w:p>
    <w:p w:rsidR="004730FB" w:rsidRPr="006B64EB" w:rsidRDefault="004730FB" w:rsidP="004730FB">
      <w:pPr>
        <w:pStyle w:val="Nzvylnk"/>
        <w:rPr>
          <w:rFonts w:ascii="Verdana" w:hAnsi="Verdana" w:cs="Arial"/>
          <w:sz w:val="20"/>
        </w:rPr>
      </w:pPr>
    </w:p>
    <w:p w:rsidR="004730FB" w:rsidRPr="006B64EB" w:rsidRDefault="004730FB" w:rsidP="004730FB">
      <w:pPr>
        <w:numPr>
          <w:ilvl w:val="0"/>
          <w:numId w:val="27"/>
        </w:numPr>
        <w:spacing w:before="120" w:line="264" w:lineRule="auto"/>
        <w:jc w:val="both"/>
        <w:rPr>
          <w:rFonts w:ascii="Verdana" w:hAnsi="Verdana" w:cs="Arial"/>
          <w:sz w:val="20"/>
          <w:szCs w:val="20"/>
        </w:rPr>
      </w:pPr>
      <w:r w:rsidRPr="006B64EB">
        <w:rPr>
          <w:rFonts w:ascii="Verdana" w:hAnsi="Verdana" w:cs="Arial"/>
          <w:sz w:val="20"/>
          <w:szCs w:val="20"/>
        </w:rPr>
        <w:t xml:space="preserve">Údaje ohlášené poplatníkem </w:t>
      </w:r>
      <w:bookmarkStart w:id="1" w:name="_Hlk54596575"/>
      <w:r w:rsidRPr="006B64EB">
        <w:rPr>
          <w:rFonts w:ascii="Verdana" w:hAnsi="Verdana" w:cs="Arial"/>
          <w:sz w:val="20"/>
          <w:szCs w:val="20"/>
        </w:rPr>
        <w:t>místního poplatku za provoz systému shromažďování, sběru, přepravy, třídění, využívání a odstraňování komunálních odpadů</w:t>
      </w:r>
      <w:bookmarkEnd w:id="1"/>
      <w:r w:rsidRPr="006B64EB">
        <w:rPr>
          <w:rFonts w:ascii="Verdana" w:hAnsi="Verdana" w:cs="Arial"/>
          <w:sz w:val="20"/>
          <w:szCs w:val="20"/>
        </w:rPr>
        <w:t xml:space="preserve"> ke dni předcházejícímu dni nabytí účinnosti této vyhlášky se považují za údaje ohlášené podle čl. 4 odst. 1 této vyhlášky.</w:t>
      </w:r>
    </w:p>
    <w:p w:rsidR="004730FB" w:rsidRPr="006B64EB" w:rsidRDefault="004730FB" w:rsidP="004730FB">
      <w:pPr>
        <w:numPr>
          <w:ilvl w:val="0"/>
          <w:numId w:val="27"/>
        </w:numPr>
        <w:spacing w:before="120" w:line="264" w:lineRule="auto"/>
        <w:jc w:val="both"/>
        <w:rPr>
          <w:rFonts w:ascii="Verdana" w:hAnsi="Verdana" w:cs="Arial"/>
          <w:sz w:val="20"/>
          <w:szCs w:val="20"/>
        </w:rPr>
      </w:pPr>
      <w:r w:rsidRPr="006B64EB">
        <w:rPr>
          <w:rFonts w:ascii="Verdana" w:hAnsi="Verdana" w:cs="Arial"/>
          <w:sz w:val="20"/>
          <w:szCs w:val="20"/>
        </w:rPr>
        <w:t>Poplatkové povinnosti vzniklé před nabytím účinnosti této vyhlášky se posuzují podle dosavadních právních předpisů.</w:t>
      </w:r>
    </w:p>
    <w:p w:rsidR="004730FB" w:rsidRPr="006B64EB" w:rsidRDefault="004730FB" w:rsidP="004730FB">
      <w:pPr>
        <w:tabs>
          <w:tab w:val="left" w:pos="3780"/>
        </w:tabs>
        <w:jc w:val="both"/>
        <w:rPr>
          <w:rFonts w:ascii="Verdana" w:hAnsi="Verdana" w:cs="Arial"/>
          <w:i/>
          <w:color w:val="0070C0"/>
          <w:sz w:val="20"/>
          <w:szCs w:val="20"/>
          <w:u w:val="single"/>
        </w:rPr>
      </w:pPr>
    </w:p>
    <w:p w:rsidR="004730FB" w:rsidRPr="006B64EB" w:rsidRDefault="004730FB" w:rsidP="004730FB">
      <w:pPr>
        <w:pStyle w:val="slalnk"/>
        <w:spacing w:before="480"/>
        <w:rPr>
          <w:rFonts w:ascii="Verdana" w:hAnsi="Verdana" w:cs="Arial"/>
          <w:sz w:val="20"/>
        </w:rPr>
      </w:pPr>
      <w:r w:rsidRPr="006B64EB">
        <w:rPr>
          <w:rFonts w:ascii="Verdana" w:hAnsi="Verdana" w:cs="Arial"/>
          <w:sz w:val="20"/>
        </w:rPr>
        <w:t>Čl. 12</w:t>
      </w:r>
    </w:p>
    <w:p w:rsidR="004730FB" w:rsidRPr="006B64EB" w:rsidRDefault="004730FB" w:rsidP="004730FB">
      <w:pPr>
        <w:pStyle w:val="Nzvylnk"/>
        <w:rPr>
          <w:rFonts w:ascii="Verdana" w:hAnsi="Verdana" w:cs="Arial"/>
          <w:sz w:val="20"/>
        </w:rPr>
      </w:pPr>
      <w:r w:rsidRPr="006B64EB">
        <w:rPr>
          <w:rFonts w:ascii="Verdana" w:hAnsi="Verdana" w:cs="Arial"/>
          <w:sz w:val="20"/>
        </w:rPr>
        <w:t>Zrušovací ustanovení</w:t>
      </w:r>
    </w:p>
    <w:p w:rsidR="004730FB" w:rsidRPr="006B64EB" w:rsidRDefault="004730FB" w:rsidP="004730FB">
      <w:pPr>
        <w:spacing w:before="120" w:line="288" w:lineRule="auto"/>
        <w:ind w:left="567"/>
        <w:jc w:val="both"/>
        <w:rPr>
          <w:rFonts w:ascii="Verdana" w:hAnsi="Verdana" w:cs="Arial"/>
          <w:sz w:val="20"/>
          <w:szCs w:val="20"/>
        </w:rPr>
      </w:pPr>
      <w:bookmarkStart w:id="2" w:name="_Hlk54595723"/>
      <w:r w:rsidRPr="006B64EB">
        <w:rPr>
          <w:rFonts w:ascii="Verdana" w:hAnsi="Verdana" w:cs="Arial"/>
          <w:sz w:val="20"/>
          <w:szCs w:val="20"/>
        </w:rPr>
        <w:t xml:space="preserve">Zrušuje se obecně závazná vyhláška </w:t>
      </w:r>
      <w:bookmarkEnd w:id="2"/>
      <w:r w:rsidRPr="006B64EB">
        <w:rPr>
          <w:rFonts w:ascii="Verdana" w:hAnsi="Verdana" w:cs="Arial"/>
          <w:sz w:val="20"/>
          <w:szCs w:val="20"/>
        </w:rPr>
        <w:t>č. 5</w:t>
      </w:r>
      <w:r w:rsidRPr="006B64EB">
        <w:rPr>
          <w:rFonts w:ascii="Verdana" w:hAnsi="Verdana" w:cs="Arial"/>
          <w:i/>
          <w:sz w:val="20"/>
          <w:szCs w:val="20"/>
        </w:rPr>
        <w:t>/2019</w:t>
      </w:r>
      <w:r>
        <w:rPr>
          <w:rFonts w:ascii="Verdana" w:hAnsi="Verdana" w:cs="Arial"/>
          <w:i/>
          <w:sz w:val="20"/>
          <w:szCs w:val="20"/>
        </w:rPr>
        <w:t>,</w:t>
      </w:r>
      <w:r w:rsidRPr="006B64EB">
        <w:rPr>
          <w:rFonts w:ascii="Verdana" w:hAnsi="Verdana" w:cs="Arial"/>
          <w:sz w:val="20"/>
          <w:szCs w:val="20"/>
        </w:rPr>
        <w:t xml:space="preserve">  o místním poplatku za provoz systému shromažďování, sběru, přepravy, třídění, využívání a odstraňování komunálních odpadů</w:t>
      </w:r>
      <w:r w:rsidRPr="006B64EB">
        <w:rPr>
          <w:rFonts w:ascii="Verdana" w:hAnsi="Verdana" w:cs="Arial"/>
          <w:i/>
          <w:sz w:val="20"/>
          <w:szCs w:val="20"/>
        </w:rPr>
        <w:t xml:space="preserve"> </w:t>
      </w:r>
      <w:r w:rsidRPr="006B64EB">
        <w:rPr>
          <w:rFonts w:ascii="Verdana" w:hAnsi="Verdana" w:cs="Arial"/>
          <w:sz w:val="20"/>
          <w:szCs w:val="20"/>
        </w:rPr>
        <w:t xml:space="preserve">ze dne </w:t>
      </w:r>
      <w:proofErr w:type="gramStart"/>
      <w:r w:rsidRPr="006B64EB">
        <w:rPr>
          <w:rFonts w:ascii="Verdana" w:hAnsi="Verdana" w:cs="Arial"/>
          <w:sz w:val="20"/>
          <w:szCs w:val="20"/>
        </w:rPr>
        <w:t>10.12.2019</w:t>
      </w:r>
      <w:proofErr w:type="gramEnd"/>
      <w:r w:rsidRPr="006B64EB">
        <w:rPr>
          <w:rFonts w:ascii="Verdana" w:hAnsi="Verdana" w:cs="Arial"/>
          <w:sz w:val="20"/>
          <w:szCs w:val="20"/>
        </w:rPr>
        <w:t>.</w:t>
      </w:r>
    </w:p>
    <w:p w:rsidR="004730FB" w:rsidRPr="006B64EB" w:rsidRDefault="004730FB" w:rsidP="004730FB">
      <w:pPr>
        <w:spacing w:before="120" w:line="264" w:lineRule="auto"/>
        <w:ind w:left="567"/>
        <w:jc w:val="both"/>
        <w:rPr>
          <w:rFonts w:ascii="Verdana" w:hAnsi="Verdana" w:cs="Arial"/>
          <w:sz w:val="20"/>
          <w:szCs w:val="20"/>
        </w:rPr>
      </w:pPr>
    </w:p>
    <w:p w:rsidR="004730FB" w:rsidRPr="006B64EB" w:rsidRDefault="004730FB" w:rsidP="004730FB">
      <w:pPr>
        <w:pStyle w:val="slalnk"/>
        <w:spacing w:before="480"/>
        <w:rPr>
          <w:rFonts w:ascii="Verdana" w:hAnsi="Verdana" w:cs="Arial"/>
          <w:sz w:val="20"/>
        </w:rPr>
      </w:pPr>
      <w:r w:rsidRPr="006B64EB">
        <w:rPr>
          <w:rFonts w:ascii="Verdana" w:hAnsi="Verdana" w:cs="Arial"/>
          <w:sz w:val="20"/>
        </w:rPr>
        <w:lastRenderedPageBreak/>
        <w:t>Čl. 13</w:t>
      </w:r>
    </w:p>
    <w:p w:rsidR="004730FB" w:rsidRPr="006B64EB" w:rsidRDefault="004730FB" w:rsidP="004730FB">
      <w:pPr>
        <w:pStyle w:val="Nzvylnk"/>
        <w:rPr>
          <w:rFonts w:ascii="Verdana" w:hAnsi="Verdana" w:cs="Arial"/>
          <w:sz w:val="20"/>
        </w:rPr>
      </w:pPr>
      <w:r w:rsidRPr="006B64EB">
        <w:rPr>
          <w:rFonts w:ascii="Verdana" w:hAnsi="Verdana" w:cs="Arial"/>
          <w:sz w:val="20"/>
        </w:rPr>
        <w:t>Účinnost</w:t>
      </w:r>
    </w:p>
    <w:p w:rsidR="004730FB" w:rsidRPr="006B64EB" w:rsidRDefault="004730FB" w:rsidP="004730FB">
      <w:pPr>
        <w:spacing w:before="120" w:line="288" w:lineRule="auto"/>
        <w:ind w:firstLine="708"/>
        <w:jc w:val="both"/>
        <w:rPr>
          <w:rFonts w:ascii="Verdana" w:hAnsi="Verdana" w:cs="Arial"/>
          <w:sz w:val="20"/>
          <w:szCs w:val="20"/>
        </w:rPr>
      </w:pPr>
      <w:r w:rsidRPr="006B64EB">
        <w:rPr>
          <w:rFonts w:ascii="Verdana" w:hAnsi="Verdana" w:cs="Arial"/>
          <w:sz w:val="20"/>
          <w:szCs w:val="20"/>
        </w:rPr>
        <w:t xml:space="preserve">Tato vyhláška nabývá účinnosti dnem </w:t>
      </w:r>
      <w:proofErr w:type="gramStart"/>
      <w:r w:rsidRPr="006B64EB">
        <w:rPr>
          <w:rFonts w:ascii="Verdana" w:hAnsi="Verdana" w:cs="Arial"/>
          <w:sz w:val="20"/>
          <w:szCs w:val="20"/>
        </w:rPr>
        <w:t>01.01.2022</w:t>
      </w:r>
      <w:proofErr w:type="gramEnd"/>
    </w:p>
    <w:p w:rsidR="004730FB" w:rsidRPr="006B64EB" w:rsidRDefault="004730FB" w:rsidP="004730FB">
      <w:pPr>
        <w:pStyle w:val="Nzvylnk"/>
        <w:jc w:val="left"/>
        <w:rPr>
          <w:rFonts w:ascii="Verdana" w:hAnsi="Verdana" w:cs="Arial"/>
          <w:b w:val="0"/>
          <w:bCs w:val="0"/>
          <w:i/>
          <w:color w:val="1A4BD6"/>
          <w:sz w:val="20"/>
        </w:rPr>
      </w:pPr>
    </w:p>
    <w:p w:rsidR="004730FB" w:rsidRPr="006B64EB" w:rsidRDefault="004730FB" w:rsidP="004730FB">
      <w:pPr>
        <w:spacing w:before="120" w:line="264" w:lineRule="auto"/>
        <w:ind w:firstLine="708"/>
        <w:jc w:val="both"/>
        <w:rPr>
          <w:rFonts w:ascii="Verdana" w:hAnsi="Verdana" w:cs="Arial"/>
          <w:sz w:val="20"/>
          <w:szCs w:val="20"/>
        </w:rPr>
      </w:pPr>
    </w:p>
    <w:p w:rsidR="004730FB" w:rsidRPr="006B64EB" w:rsidRDefault="004730FB" w:rsidP="004730FB">
      <w:pPr>
        <w:spacing w:before="120" w:line="264" w:lineRule="auto"/>
        <w:jc w:val="center"/>
        <w:rPr>
          <w:rFonts w:ascii="Verdana" w:hAnsi="Verdana" w:cs="Arial"/>
          <w:sz w:val="20"/>
          <w:szCs w:val="20"/>
        </w:rPr>
      </w:pPr>
      <w:r w:rsidRPr="006B64EB">
        <w:rPr>
          <w:rFonts w:ascii="Verdana" w:hAnsi="Verdana" w:cs="Arial"/>
          <w:sz w:val="20"/>
          <w:szCs w:val="20"/>
        </w:rPr>
        <w:t>Ing. Josef Viktora</w:t>
      </w:r>
    </w:p>
    <w:p w:rsidR="004730FB" w:rsidRPr="006B64EB" w:rsidRDefault="004730FB" w:rsidP="004730FB">
      <w:pPr>
        <w:pStyle w:val="Zkladntext"/>
        <w:tabs>
          <w:tab w:val="left" w:pos="1080"/>
          <w:tab w:val="left" w:pos="7020"/>
        </w:tabs>
        <w:spacing w:line="264" w:lineRule="auto"/>
        <w:jc w:val="center"/>
        <w:rPr>
          <w:rFonts w:ascii="Verdana" w:hAnsi="Verdana" w:cs="Arial"/>
          <w:szCs w:val="20"/>
        </w:rPr>
      </w:pPr>
      <w:r w:rsidRPr="006B64EB">
        <w:rPr>
          <w:rFonts w:ascii="Verdana" w:hAnsi="Verdana" w:cs="Arial"/>
          <w:szCs w:val="20"/>
        </w:rPr>
        <w:t>starosta</w:t>
      </w:r>
    </w:p>
    <w:p w:rsidR="004730FB" w:rsidRPr="006B64EB" w:rsidRDefault="004730FB" w:rsidP="004730FB">
      <w:pPr>
        <w:spacing w:before="120" w:line="264" w:lineRule="auto"/>
        <w:ind w:firstLine="708"/>
        <w:jc w:val="both"/>
        <w:rPr>
          <w:rFonts w:ascii="Verdana" w:hAnsi="Verdana" w:cs="Arial"/>
          <w:sz w:val="20"/>
          <w:szCs w:val="20"/>
        </w:rPr>
      </w:pPr>
    </w:p>
    <w:p w:rsidR="004730FB" w:rsidRPr="006B64EB" w:rsidRDefault="004730FB" w:rsidP="004730FB">
      <w:pPr>
        <w:pStyle w:val="Zkladntext"/>
        <w:tabs>
          <w:tab w:val="left" w:pos="1440"/>
          <w:tab w:val="left" w:pos="7020"/>
        </w:tabs>
        <w:spacing w:line="264" w:lineRule="auto"/>
        <w:rPr>
          <w:rFonts w:ascii="Verdana" w:hAnsi="Verdana" w:cs="Arial"/>
          <w:i/>
          <w:szCs w:val="20"/>
        </w:rPr>
      </w:pPr>
      <w:r w:rsidRPr="006B64EB">
        <w:rPr>
          <w:rFonts w:ascii="Verdana" w:hAnsi="Verdana" w:cs="Arial"/>
          <w:i/>
          <w:szCs w:val="20"/>
        </w:rPr>
        <w:tab/>
      </w:r>
      <w:r w:rsidRPr="006B64EB">
        <w:rPr>
          <w:rFonts w:ascii="Verdana" w:hAnsi="Verdana" w:cs="Arial"/>
          <w:i/>
          <w:szCs w:val="20"/>
        </w:rPr>
        <w:tab/>
      </w:r>
    </w:p>
    <w:p w:rsidR="004730FB" w:rsidRPr="006B64EB" w:rsidRDefault="004730FB" w:rsidP="004730FB">
      <w:pPr>
        <w:pStyle w:val="Zkladntext"/>
        <w:tabs>
          <w:tab w:val="left" w:pos="720"/>
          <w:tab w:val="left" w:pos="6120"/>
        </w:tabs>
        <w:spacing w:line="264" w:lineRule="auto"/>
        <w:rPr>
          <w:rFonts w:ascii="Verdana" w:hAnsi="Verdana" w:cs="Arial"/>
          <w:i/>
          <w:szCs w:val="20"/>
        </w:rPr>
      </w:pPr>
      <w:r w:rsidRPr="006B64EB">
        <w:rPr>
          <w:rFonts w:ascii="Verdana" w:hAnsi="Verdana" w:cs="Arial"/>
          <w:i/>
          <w:szCs w:val="20"/>
        </w:rPr>
        <w:tab/>
        <w:t xml:space="preserve">    .........................................</w:t>
      </w:r>
      <w:r w:rsidRPr="006B64EB">
        <w:rPr>
          <w:rFonts w:ascii="Verdana" w:hAnsi="Verdana" w:cs="Arial"/>
          <w:i/>
          <w:szCs w:val="20"/>
        </w:rPr>
        <w:tab/>
        <w:t>..........................................</w:t>
      </w:r>
    </w:p>
    <w:p w:rsidR="004730FB" w:rsidRPr="006B64EB" w:rsidRDefault="004730FB" w:rsidP="004730FB">
      <w:pPr>
        <w:pStyle w:val="Zkladntext"/>
        <w:tabs>
          <w:tab w:val="left" w:pos="1080"/>
          <w:tab w:val="left" w:pos="6660"/>
        </w:tabs>
        <w:spacing w:line="264" w:lineRule="auto"/>
        <w:rPr>
          <w:rFonts w:ascii="Verdana" w:hAnsi="Verdana" w:cs="Arial"/>
          <w:szCs w:val="20"/>
        </w:rPr>
      </w:pPr>
      <w:r w:rsidRPr="006B64EB">
        <w:rPr>
          <w:rFonts w:ascii="Verdana" w:hAnsi="Verdana" w:cs="Arial"/>
          <w:szCs w:val="20"/>
        </w:rPr>
        <w:tab/>
        <w:t xml:space="preserve">Mgr. Bc Silvia Doušová </w:t>
      </w:r>
      <w:r w:rsidRPr="006B64EB">
        <w:rPr>
          <w:rFonts w:ascii="Verdana" w:hAnsi="Verdana" w:cs="Arial"/>
          <w:szCs w:val="20"/>
        </w:rPr>
        <w:tab/>
        <w:t>Mgr. Bc. Vít Šnajdr</w:t>
      </w:r>
    </w:p>
    <w:p w:rsidR="004730FB" w:rsidRPr="006B64EB" w:rsidRDefault="004730FB" w:rsidP="004730FB">
      <w:pPr>
        <w:pStyle w:val="Zkladntext"/>
        <w:tabs>
          <w:tab w:val="left" w:pos="1080"/>
          <w:tab w:val="left" w:pos="7020"/>
        </w:tabs>
        <w:spacing w:line="264" w:lineRule="auto"/>
        <w:rPr>
          <w:rFonts w:ascii="Verdana" w:hAnsi="Verdana" w:cs="Arial"/>
          <w:szCs w:val="20"/>
        </w:rPr>
      </w:pPr>
      <w:r w:rsidRPr="006B64EB">
        <w:rPr>
          <w:rFonts w:ascii="Verdana" w:hAnsi="Verdana" w:cs="Arial"/>
          <w:szCs w:val="20"/>
        </w:rPr>
        <w:tab/>
        <w:t xml:space="preserve">     místostarostka</w:t>
      </w:r>
      <w:r w:rsidRPr="006B64EB">
        <w:rPr>
          <w:rFonts w:ascii="Verdana" w:hAnsi="Verdana" w:cs="Arial"/>
          <w:szCs w:val="20"/>
        </w:rPr>
        <w:tab/>
        <w:t>místostarosta</w:t>
      </w:r>
    </w:p>
    <w:p w:rsidR="004730FB" w:rsidRPr="006B64EB" w:rsidRDefault="004730FB" w:rsidP="004730FB">
      <w:pPr>
        <w:pStyle w:val="Zkladntext"/>
        <w:tabs>
          <w:tab w:val="left" w:pos="1080"/>
          <w:tab w:val="left" w:pos="7020"/>
        </w:tabs>
        <w:spacing w:line="264" w:lineRule="auto"/>
        <w:rPr>
          <w:rFonts w:ascii="Verdana" w:hAnsi="Verdana" w:cs="Arial"/>
          <w:szCs w:val="20"/>
        </w:rPr>
      </w:pPr>
    </w:p>
    <w:p w:rsidR="004730FB" w:rsidRPr="006B64EB" w:rsidRDefault="004730FB" w:rsidP="004730FB">
      <w:pPr>
        <w:pStyle w:val="Zkladntext"/>
        <w:tabs>
          <w:tab w:val="left" w:pos="1080"/>
          <w:tab w:val="left" w:pos="7020"/>
        </w:tabs>
        <w:spacing w:before="120" w:line="264" w:lineRule="auto"/>
        <w:rPr>
          <w:rFonts w:ascii="Verdana" w:hAnsi="Verdana" w:cs="Arial"/>
          <w:szCs w:val="20"/>
        </w:rPr>
      </w:pPr>
    </w:p>
    <w:p w:rsidR="004730FB" w:rsidRPr="006B64EB" w:rsidRDefault="004730FB" w:rsidP="004730FB">
      <w:pPr>
        <w:pStyle w:val="Zkladntext"/>
        <w:tabs>
          <w:tab w:val="left" w:pos="1080"/>
          <w:tab w:val="left" w:pos="7020"/>
        </w:tabs>
        <w:spacing w:before="120" w:line="264" w:lineRule="auto"/>
        <w:rPr>
          <w:rFonts w:ascii="Verdana" w:hAnsi="Verdana" w:cs="Arial"/>
          <w:szCs w:val="20"/>
        </w:rPr>
      </w:pPr>
      <w:r w:rsidRPr="006B64EB">
        <w:rPr>
          <w:rFonts w:ascii="Verdana" w:hAnsi="Verdana" w:cs="Arial"/>
          <w:szCs w:val="20"/>
        </w:rPr>
        <w:t>Vyvěšeno na úřední desce dne:</w:t>
      </w:r>
    </w:p>
    <w:p w:rsidR="004730FB" w:rsidRPr="006B64EB" w:rsidRDefault="004730FB" w:rsidP="004730FB">
      <w:pPr>
        <w:pStyle w:val="Zkladntext"/>
        <w:tabs>
          <w:tab w:val="left" w:pos="1080"/>
          <w:tab w:val="left" w:pos="7020"/>
        </w:tabs>
        <w:spacing w:before="120" w:line="264" w:lineRule="auto"/>
        <w:rPr>
          <w:rFonts w:ascii="Verdana" w:hAnsi="Verdana" w:cs="Arial"/>
          <w:szCs w:val="20"/>
        </w:rPr>
      </w:pPr>
      <w:r w:rsidRPr="006B64EB">
        <w:rPr>
          <w:rFonts w:ascii="Verdana" w:hAnsi="Verdana" w:cs="Arial"/>
          <w:szCs w:val="20"/>
        </w:rPr>
        <w:t>Sejmuto z úřední desky dne:</w:t>
      </w:r>
    </w:p>
    <w:p w:rsidR="004730FB" w:rsidRPr="006B64EB" w:rsidRDefault="004730FB" w:rsidP="004730FB">
      <w:pPr>
        <w:rPr>
          <w:rFonts w:ascii="Verdana" w:hAnsi="Verdana"/>
          <w:b/>
          <w:sz w:val="20"/>
          <w:szCs w:val="20"/>
        </w:rPr>
      </w:pPr>
    </w:p>
    <w:p w:rsidR="004730FB" w:rsidRDefault="004730FB" w:rsidP="004730FB">
      <w:pPr>
        <w:rPr>
          <w:rFonts w:ascii="Verdana" w:hAnsi="Verdana"/>
          <w:b/>
          <w:sz w:val="20"/>
          <w:szCs w:val="20"/>
        </w:rPr>
      </w:pPr>
      <w:r>
        <w:rPr>
          <w:rFonts w:ascii="Verdana" w:hAnsi="Verdana"/>
          <w:b/>
          <w:sz w:val="20"/>
          <w:szCs w:val="20"/>
        </w:rPr>
        <w:t xml:space="preserve">2/05 </w:t>
      </w:r>
      <w:r w:rsidRPr="004730FB">
        <w:rPr>
          <w:rFonts w:ascii="Verdana" w:hAnsi="Verdana"/>
          <w:b/>
          <w:sz w:val="20"/>
          <w:szCs w:val="20"/>
        </w:rPr>
        <w:t>Návrh rozpočtové opatření EKO č. 7-9 a obnovení kontokorentního úvěru</w:t>
      </w:r>
    </w:p>
    <w:p w:rsidR="004730FB" w:rsidRDefault="004730FB" w:rsidP="004730FB">
      <w:pPr>
        <w:spacing w:before="120" w:after="120"/>
        <w:jc w:val="both"/>
        <w:rPr>
          <w:rFonts w:ascii="Verdana" w:hAnsi="Verdana"/>
          <w:sz w:val="20"/>
          <w:szCs w:val="20"/>
        </w:rPr>
      </w:pPr>
      <w:r>
        <w:rPr>
          <w:rFonts w:ascii="Verdana" w:hAnsi="Verdana"/>
          <w:sz w:val="20"/>
          <w:szCs w:val="20"/>
        </w:rPr>
        <w:t>Rada města svým usnesením č. 394/21 doporučila Zastupitelstvu města materiál ke schválení.</w:t>
      </w:r>
    </w:p>
    <w:p w:rsidR="004730FB" w:rsidRPr="005A5C3E" w:rsidRDefault="004730FB" w:rsidP="004730FB">
      <w:pPr>
        <w:jc w:val="both"/>
        <w:rPr>
          <w:rFonts w:ascii="Verdana" w:hAnsi="Verdana"/>
          <w:sz w:val="20"/>
          <w:szCs w:val="20"/>
        </w:rPr>
      </w:pPr>
      <w:r>
        <w:rPr>
          <w:rFonts w:ascii="Verdana" w:hAnsi="Verdana"/>
          <w:b/>
          <w:sz w:val="20"/>
          <w:szCs w:val="20"/>
        </w:rPr>
        <w:t>Ro</w:t>
      </w:r>
      <w:r w:rsidRPr="005A5C3E">
        <w:rPr>
          <w:rFonts w:ascii="Verdana" w:hAnsi="Verdana"/>
          <w:b/>
          <w:sz w:val="20"/>
          <w:szCs w:val="20"/>
        </w:rPr>
        <w:t xml:space="preserve">zpočtové opatření </w:t>
      </w:r>
      <w:r>
        <w:rPr>
          <w:rFonts w:ascii="Verdana" w:hAnsi="Verdana"/>
          <w:b/>
          <w:sz w:val="20"/>
          <w:szCs w:val="20"/>
        </w:rPr>
        <w:t>EKO č.</w:t>
      </w:r>
      <w:r w:rsidRPr="00345AA1">
        <w:rPr>
          <w:rFonts w:ascii="Verdana" w:hAnsi="Verdana"/>
          <w:b/>
          <w:sz w:val="20"/>
          <w:szCs w:val="20"/>
        </w:rPr>
        <w:t xml:space="preserve"> </w:t>
      </w:r>
      <w:r>
        <w:rPr>
          <w:rFonts w:ascii="Verdana" w:hAnsi="Verdana"/>
          <w:b/>
          <w:sz w:val="20"/>
          <w:szCs w:val="20"/>
        </w:rPr>
        <w:t>7</w:t>
      </w:r>
      <w:r w:rsidRPr="005A5C3E">
        <w:rPr>
          <w:rFonts w:ascii="Verdana" w:hAnsi="Verdana"/>
          <w:sz w:val="20"/>
          <w:szCs w:val="20"/>
        </w:rPr>
        <w:t xml:space="preserve"> - </w:t>
      </w:r>
      <w:r>
        <w:rPr>
          <w:rFonts w:ascii="Verdana" w:hAnsi="Verdana"/>
          <w:sz w:val="20"/>
          <w:szCs w:val="20"/>
        </w:rPr>
        <w:t>navýšení</w:t>
      </w:r>
      <w:r w:rsidRPr="005A5C3E">
        <w:rPr>
          <w:rFonts w:ascii="Verdana" w:hAnsi="Verdana"/>
          <w:sz w:val="20"/>
          <w:szCs w:val="20"/>
        </w:rPr>
        <w:t xml:space="preserve"> rozpočtových prostředků (§ 16, odst. 3, písm. </w:t>
      </w:r>
      <w:r>
        <w:rPr>
          <w:rFonts w:ascii="Verdana" w:hAnsi="Verdana"/>
          <w:sz w:val="20"/>
          <w:szCs w:val="20"/>
        </w:rPr>
        <w:t>b</w:t>
      </w:r>
      <w:r w:rsidRPr="005A5C3E">
        <w:rPr>
          <w:rFonts w:ascii="Verdana" w:hAnsi="Verdana"/>
          <w:sz w:val="20"/>
          <w:szCs w:val="20"/>
        </w:rPr>
        <w:t>) zákona č. 250/2000 Sb.)</w:t>
      </w:r>
    </w:p>
    <w:p w:rsidR="004730FB" w:rsidRPr="005A5C3E" w:rsidRDefault="004730FB" w:rsidP="004730FB">
      <w:pPr>
        <w:tabs>
          <w:tab w:val="left" w:pos="6663"/>
        </w:tabs>
        <w:jc w:val="both"/>
        <w:rPr>
          <w:rFonts w:ascii="Verdana" w:hAnsi="Verdana"/>
          <w:sz w:val="20"/>
          <w:szCs w:val="20"/>
        </w:rPr>
      </w:pPr>
    </w:p>
    <w:p w:rsidR="004730FB" w:rsidRPr="005A5C3E" w:rsidRDefault="004730FB" w:rsidP="004730FB">
      <w:pPr>
        <w:jc w:val="both"/>
        <w:rPr>
          <w:rFonts w:ascii="Verdana" w:hAnsi="Verdana"/>
          <w:b/>
          <w:sz w:val="20"/>
          <w:szCs w:val="20"/>
        </w:rPr>
      </w:pPr>
      <w:r w:rsidRPr="005A5C3E">
        <w:rPr>
          <w:rFonts w:ascii="Verdana" w:hAnsi="Verdana"/>
          <w:b/>
          <w:sz w:val="20"/>
          <w:szCs w:val="20"/>
        </w:rPr>
        <w:t xml:space="preserve">Částka </w:t>
      </w:r>
      <w:r>
        <w:rPr>
          <w:rFonts w:ascii="Verdana" w:hAnsi="Verdana"/>
          <w:b/>
          <w:sz w:val="20"/>
          <w:szCs w:val="20"/>
        </w:rPr>
        <w:t>66.000</w:t>
      </w:r>
      <w:r w:rsidRPr="005A5C3E">
        <w:rPr>
          <w:rFonts w:ascii="Verdana" w:hAnsi="Verdana"/>
          <w:b/>
          <w:sz w:val="20"/>
          <w:szCs w:val="20"/>
        </w:rPr>
        <w:t>,- Kč</w:t>
      </w:r>
    </w:p>
    <w:p w:rsidR="004730FB" w:rsidRPr="005A5C3E" w:rsidRDefault="004730FB" w:rsidP="004730FB">
      <w:pPr>
        <w:jc w:val="both"/>
        <w:rPr>
          <w:rFonts w:ascii="Verdana" w:hAnsi="Verdana"/>
          <w:sz w:val="20"/>
          <w:szCs w:val="20"/>
        </w:rPr>
      </w:pPr>
    </w:p>
    <w:p w:rsidR="004730FB" w:rsidRDefault="004730FB" w:rsidP="004730FB">
      <w:pPr>
        <w:autoSpaceDE w:val="0"/>
        <w:autoSpaceDN w:val="0"/>
        <w:adjustRightInd w:val="0"/>
        <w:spacing w:before="120" w:after="120"/>
        <w:jc w:val="both"/>
        <w:rPr>
          <w:rFonts w:ascii="Verdana" w:hAnsi="Verdana"/>
          <w:sz w:val="20"/>
          <w:szCs w:val="20"/>
        </w:rPr>
      </w:pPr>
      <w:r w:rsidRPr="005A5C3E">
        <w:rPr>
          <w:rFonts w:ascii="Verdana" w:hAnsi="Verdana"/>
          <w:b/>
          <w:sz w:val="20"/>
          <w:szCs w:val="20"/>
        </w:rPr>
        <w:t>Zdůvodnění</w:t>
      </w:r>
      <w:r w:rsidRPr="005A5C3E">
        <w:rPr>
          <w:rFonts w:ascii="Verdana" w:hAnsi="Verdana"/>
          <w:sz w:val="20"/>
          <w:szCs w:val="20"/>
        </w:rPr>
        <w:t>:</w:t>
      </w:r>
      <w:r w:rsidRPr="005409B5">
        <w:rPr>
          <w:rFonts w:ascii="Verdana" w:hAnsi="Verdana"/>
          <w:sz w:val="20"/>
          <w:szCs w:val="20"/>
        </w:rPr>
        <w:t xml:space="preserve"> </w:t>
      </w:r>
      <w:r>
        <w:rPr>
          <w:rFonts w:ascii="Verdana" w:hAnsi="Verdana"/>
          <w:sz w:val="20"/>
          <w:szCs w:val="20"/>
        </w:rPr>
        <w:t xml:space="preserve">navýšení </w:t>
      </w:r>
      <w:r w:rsidRPr="000643A1">
        <w:rPr>
          <w:rFonts w:ascii="Verdana" w:hAnsi="Verdana"/>
          <w:sz w:val="20"/>
          <w:szCs w:val="20"/>
        </w:rPr>
        <w:t>rozpočtových</w:t>
      </w:r>
      <w:r>
        <w:rPr>
          <w:rFonts w:ascii="Verdana" w:hAnsi="Verdana"/>
          <w:sz w:val="20"/>
          <w:szCs w:val="20"/>
        </w:rPr>
        <w:t xml:space="preserve"> příjmů z důvodu fakturace za výkon přenesené působnosti v oblasti přestupků ve výši přijatých příjmů do konce dubna ve výši 66.000 Kč. Částka navýší rozpočtovou rezervu.</w:t>
      </w:r>
    </w:p>
    <w:p w:rsidR="004730FB" w:rsidRDefault="004730FB" w:rsidP="004730FB">
      <w:pPr>
        <w:autoSpaceDE w:val="0"/>
        <w:autoSpaceDN w:val="0"/>
        <w:adjustRightInd w:val="0"/>
        <w:spacing w:before="120" w:after="120"/>
        <w:jc w:val="both"/>
        <w:rPr>
          <w:rFonts w:ascii="Verdana" w:hAnsi="Verdana"/>
          <w:sz w:val="20"/>
          <w:szCs w:val="20"/>
        </w:rPr>
      </w:pPr>
      <w:r>
        <w:rPr>
          <w:rFonts w:ascii="Verdana" w:hAnsi="Verdana"/>
          <w:sz w:val="20"/>
          <w:szCs w:val="20"/>
        </w:rPr>
        <w:t>Rozpočtová skladba:</w:t>
      </w:r>
    </w:p>
    <w:tbl>
      <w:tblPr>
        <w:tblW w:w="9761" w:type="dxa"/>
        <w:tblInd w:w="70" w:type="dxa"/>
        <w:tblCellMar>
          <w:left w:w="70" w:type="dxa"/>
          <w:right w:w="70" w:type="dxa"/>
        </w:tblCellMar>
        <w:tblLook w:val="04A0" w:firstRow="1" w:lastRow="0" w:firstColumn="1" w:lastColumn="0" w:noHBand="0" w:noVBand="1"/>
      </w:tblPr>
      <w:tblGrid>
        <w:gridCol w:w="703"/>
        <w:gridCol w:w="730"/>
        <w:gridCol w:w="607"/>
        <w:gridCol w:w="2138"/>
        <w:gridCol w:w="1536"/>
        <w:gridCol w:w="1374"/>
        <w:gridCol w:w="1536"/>
        <w:gridCol w:w="1137"/>
      </w:tblGrid>
      <w:tr w:rsidR="004730FB" w:rsidTr="004730FB">
        <w:trPr>
          <w:trHeight w:val="579"/>
        </w:trPr>
        <w:tc>
          <w:tcPr>
            <w:tcW w:w="70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30FB" w:rsidRDefault="004730FB" w:rsidP="004730FB">
            <w:pPr>
              <w:jc w:val="center"/>
              <w:rPr>
                <w:rFonts w:ascii="Verdana" w:hAnsi="Verdana"/>
                <w:b/>
                <w:bCs/>
                <w:i/>
                <w:iCs/>
                <w:color w:val="000000"/>
                <w:sz w:val="16"/>
                <w:szCs w:val="16"/>
              </w:rPr>
            </w:pPr>
            <w:proofErr w:type="spellStart"/>
            <w:r>
              <w:rPr>
                <w:rFonts w:ascii="Verdana" w:hAnsi="Verdana"/>
                <w:b/>
                <w:bCs/>
                <w:i/>
                <w:iCs/>
                <w:color w:val="000000"/>
                <w:sz w:val="16"/>
                <w:szCs w:val="16"/>
              </w:rPr>
              <w:t>OdPa</w:t>
            </w:r>
            <w:proofErr w:type="spellEnd"/>
          </w:p>
        </w:tc>
        <w:tc>
          <w:tcPr>
            <w:tcW w:w="730" w:type="dxa"/>
            <w:tcBorders>
              <w:top w:val="single" w:sz="4" w:space="0" w:color="auto"/>
              <w:left w:val="nil"/>
              <w:bottom w:val="single" w:sz="4" w:space="0" w:color="auto"/>
              <w:right w:val="single" w:sz="4" w:space="0" w:color="auto"/>
            </w:tcBorders>
            <w:shd w:val="clear" w:color="000000" w:fill="EEECE1"/>
            <w:noWrap/>
            <w:vAlign w:val="center"/>
            <w:hideMark/>
          </w:tcPr>
          <w:p w:rsidR="004730FB" w:rsidRDefault="004730FB" w:rsidP="004730FB">
            <w:pPr>
              <w:jc w:val="center"/>
              <w:rPr>
                <w:rFonts w:ascii="Verdana" w:hAnsi="Verdana"/>
                <w:b/>
                <w:bCs/>
                <w:i/>
                <w:iCs/>
                <w:color w:val="000000"/>
                <w:sz w:val="16"/>
                <w:szCs w:val="16"/>
              </w:rPr>
            </w:pPr>
            <w:proofErr w:type="spellStart"/>
            <w:r>
              <w:rPr>
                <w:rFonts w:ascii="Verdana" w:hAnsi="Verdana"/>
                <w:b/>
                <w:bCs/>
                <w:i/>
                <w:iCs/>
                <w:color w:val="000000"/>
                <w:sz w:val="16"/>
                <w:szCs w:val="16"/>
              </w:rPr>
              <w:t>SpPo</w:t>
            </w:r>
            <w:proofErr w:type="spellEnd"/>
          </w:p>
        </w:tc>
        <w:tc>
          <w:tcPr>
            <w:tcW w:w="607" w:type="dxa"/>
            <w:tcBorders>
              <w:top w:val="single" w:sz="4" w:space="0" w:color="auto"/>
              <w:left w:val="nil"/>
              <w:bottom w:val="single" w:sz="4" w:space="0" w:color="auto"/>
              <w:right w:val="single" w:sz="4" w:space="0" w:color="auto"/>
            </w:tcBorders>
            <w:shd w:val="clear" w:color="000000" w:fill="EEECE1"/>
            <w:noWrap/>
            <w:vAlign w:val="center"/>
            <w:hideMark/>
          </w:tcPr>
          <w:p w:rsidR="004730FB" w:rsidRDefault="004730FB" w:rsidP="004730FB">
            <w:pPr>
              <w:jc w:val="center"/>
              <w:rPr>
                <w:rFonts w:ascii="Verdana" w:hAnsi="Verdana"/>
                <w:b/>
                <w:bCs/>
                <w:i/>
                <w:iCs/>
                <w:color w:val="000000"/>
                <w:sz w:val="16"/>
                <w:szCs w:val="16"/>
              </w:rPr>
            </w:pPr>
            <w:proofErr w:type="spellStart"/>
            <w:r>
              <w:rPr>
                <w:rFonts w:ascii="Verdana" w:hAnsi="Verdana"/>
                <w:b/>
                <w:bCs/>
                <w:i/>
                <w:iCs/>
                <w:color w:val="000000"/>
                <w:sz w:val="16"/>
                <w:szCs w:val="16"/>
              </w:rPr>
              <w:t>OrJ</w:t>
            </w:r>
            <w:proofErr w:type="spellEnd"/>
          </w:p>
        </w:tc>
        <w:tc>
          <w:tcPr>
            <w:tcW w:w="2138" w:type="dxa"/>
            <w:tcBorders>
              <w:top w:val="single" w:sz="4" w:space="0" w:color="auto"/>
              <w:left w:val="nil"/>
              <w:bottom w:val="single" w:sz="4" w:space="0" w:color="auto"/>
              <w:right w:val="single" w:sz="4" w:space="0" w:color="auto"/>
            </w:tcBorders>
            <w:shd w:val="clear" w:color="000000" w:fill="EEECE1"/>
            <w:vAlign w:val="center"/>
            <w:hideMark/>
          </w:tcPr>
          <w:p w:rsidR="004730FB" w:rsidRDefault="004730FB" w:rsidP="004730FB">
            <w:pPr>
              <w:jc w:val="center"/>
              <w:rPr>
                <w:rFonts w:ascii="Verdana" w:hAnsi="Verdana"/>
                <w:b/>
                <w:bCs/>
                <w:i/>
                <w:iCs/>
                <w:color w:val="000000"/>
                <w:sz w:val="16"/>
                <w:szCs w:val="16"/>
              </w:rPr>
            </w:pPr>
            <w:r>
              <w:rPr>
                <w:rFonts w:ascii="Verdana" w:hAnsi="Verdana"/>
                <w:b/>
                <w:bCs/>
                <w:i/>
                <w:iCs/>
                <w:color w:val="000000"/>
                <w:sz w:val="16"/>
                <w:szCs w:val="16"/>
              </w:rPr>
              <w:t>Text</w:t>
            </w:r>
          </w:p>
        </w:tc>
        <w:tc>
          <w:tcPr>
            <w:tcW w:w="1536" w:type="dxa"/>
            <w:tcBorders>
              <w:top w:val="single" w:sz="4" w:space="0" w:color="auto"/>
              <w:left w:val="nil"/>
              <w:bottom w:val="single" w:sz="4" w:space="0" w:color="auto"/>
              <w:right w:val="single" w:sz="4" w:space="0" w:color="auto"/>
            </w:tcBorders>
            <w:shd w:val="clear" w:color="000000" w:fill="EEECE1"/>
            <w:vAlign w:val="center"/>
            <w:hideMark/>
          </w:tcPr>
          <w:p w:rsidR="004730FB" w:rsidRDefault="004730FB" w:rsidP="004730FB">
            <w:pPr>
              <w:jc w:val="center"/>
              <w:rPr>
                <w:rFonts w:ascii="Verdana" w:hAnsi="Verdana"/>
                <w:b/>
                <w:bCs/>
                <w:i/>
                <w:iCs/>
                <w:color w:val="000000"/>
                <w:sz w:val="16"/>
                <w:szCs w:val="16"/>
              </w:rPr>
            </w:pPr>
            <w:r>
              <w:rPr>
                <w:rFonts w:ascii="Verdana" w:hAnsi="Verdana"/>
                <w:b/>
                <w:bCs/>
                <w:i/>
                <w:iCs/>
                <w:color w:val="000000"/>
                <w:sz w:val="16"/>
                <w:szCs w:val="16"/>
              </w:rPr>
              <w:t>schválený rozpočet</w:t>
            </w:r>
          </w:p>
        </w:tc>
        <w:tc>
          <w:tcPr>
            <w:tcW w:w="1374" w:type="dxa"/>
            <w:tcBorders>
              <w:top w:val="single" w:sz="4" w:space="0" w:color="auto"/>
              <w:left w:val="nil"/>
              <w:bottom w:val="single" w:sz="4" w:space="0" w:color="auto"/>
              <w:right w:val="single" w:sz="4" w:space="0" w:color="auto"/>
            </w:tcBorders>
            <w:shd w:val="clear" w:color="000000" w:fill="EEECE1"/>
            <w:vAlign w:val="center"/>
            <w:hideMark/>
          </w:tcPr>
          <w:p w:rsidR="004730FB" w:rsidRDefault="004730FB" w:rsidP="004730FB">
            <w:pPr>
              <w:jc w:val="center"/>
              <w:rPr>
                <w:rFonts w:ascii="Verdana" w:hAnsi="Verdana"/>
                <w:b/>
                <w:bCs/>
                <w:i/>
                <w:iCs/>
                <w:color w:val="000000"/>
                <w:sz w:val="16"/>
                <w:szCs w:val="16"/>
              </w:rPr>
            </w:pPr>
            <w:r>
              <w:rPr>
                <w:rFonts w:ascii="Verdana" w:hAnsi="Verdana"/>
                <w:b/>
                <w:bCs/>
                <w:i/>
                <w:iCs/>
                <w:color w:val="000000"/>
                <w:sz w:val="16"/>
                <w:szCs w:val="16"/>
              </w:rPr>
              <w:t>upravený rozpočet</w:t>
            </w:r>
          </w:p>
        </w:tc>
        <w:tc>
          <w:tcPr>
            <w:tcW w:w="1536" w:type="dxa"/>
            <w:tcBorders>
              <w:top w:val="single" w:sz="4" w:space="0" w:color="auto"/>
              <w:left w:val="nil"/>
              <w:bottom w:val="single" w:sz="4" w:space="0" w:color="auto"/>
              <w:right w:val="single" w:sz="4" w:space="0" w:color="auto"/>
            </w:tcBorders>
            <w:shd w:val="clear" w:color="000000" w:fill="EEECE1"/>
            <w:vAlign w:val="center"/>
            <w:hideMark/>
          </w:tcPr>
          <w:p w:rsidR="004730FB" w:rsidRDefault="004730FB" w:rsidP="004730FB">
            <w:pPr>
              <w:jc w:val="center"/>
              <w:rPr>
                <w:rFonts w:ascii="Verdana" w:hAnsi="Verdana"/>
                <w:b/>
                <w:bCs/>
                <w:i/>
                <w:iCs/>
                <w:color w:val="000000"/>
                <w:sz w:val="16"/>
                <w:szCs w:val="16"/>
              </w:rPr>
            </w:pPr>
            <w:r>
              <w:rPr>
                <w:rFonts w:ascii="Verdana" w:hAnsi="Verdana"/>
                <w:b/>
                <w:bCs/>
                <w:i/>
                <w:iCs/>
                <w:color w:val="000000"/>
                <w:sz w:val="16"/>
                <w:szCs w:val="16"/>
              </w:rPr>
              <w:t>úprava</w:t>
            </w:r>
          </w:p>
        </w:tc>
        <w:tc>
          <w:tcPr>
            <w:tcW w:w="1137" w:type="dxa"/>
            <w:tcBorders>
              <w:top w:val="single" w:sz="4" w:space="0" w:color="auto"/>
              <w:left w:val="nil"/>
              <w:bottom w:val="single" w:sz="4" w:space="0" w:color="auto"/>
              <w:right w:val="single" w:sz="4" w:space="0" w:color="auto"/>
            </w:tcBorders>
            <w:shd w:val="clear" w:color="000000" w:fill="EEECE1"/>
            <w:vAlign w:val="center"/>
            <w:hideMark/>
          </w:tcPr>
          <w:p w:rsidR="004730FB" w:rsidRDefault="004730FB" w:rsidP="004730FB">
            <w:pPr>
              <w:jc w:val="center"/>
              <w:rPr>
                <w:rFonts w:ascii="Verdana" w:hAnsi="Verdana"/>
                <w:b/>
                <w:bCs/>
                <w:i/>
                <w:iCs/>
                <w:color w:val="000000"/>
                <w:sz w:val="16"/>
                <w:szCs w:val="16"/>
              </w:rPr>
            </w:pPr>
            <w:r>
              <w:rPr>
                <w:rFonts w:ascii="Verdana" w:hAnsi="Verdana"/>
                <w:b/>
                <w:bCs/>
                <w:i/>
                <w:iCs/>
                <w:color w:val="000000"/>
                <w:sz w:val="16"/>
                <w:szCs w:val="16"/>
              </w:rPr>
              <w:t>UR po úpravě</w:t>
            </w:r>
          </w:p>
        </w:tc>
      </w:tr>
      <w:tr w:rsidR="004730FB" w:rsidTr="004730FB">
        <w:trPr>
          <w:trHeight w:val="528"/>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4730FB" w:rsidRDefault="004730FB" w:rsidP="004730FB">
            <w:pPr>
              <w:rPr>
                <w:rFonts w:ascii="Verdana" w:hAnsi="Verdana"/>
                <w:color w:val="000000"/>
                <w:sz w:val="16"/>
                <w:szCs w:val="16"/>
              </w:rPr>
            </w:pPr>
            <w:r>
              <w:rPr>
                <w:rFonts w:ascii="Verdana" w:hAnsi="Verdana"/>
                <w:color w:val="000000"/>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4730FB" w:rsidRDefault="004730FB" w:rsidP="004730FB">
            <w:pPr>
              <w:rPr>
                <w:rFonts w:ascii="Verdana" w:hAnsi="Verdana"/>
                <w:color w:val="000000"/>
                <w:sz w:val="16"/>
                <w:szCs w:val="16"/>
              </w:rPr>
            </w:pPr>
            <w:r>
              <w:rPr>
                <w:rFonts w:ascii="Verdana" w:hAnsi="Verdana"/>
                <w:color w:val="000000"/>
                <w:sz w:val="16"/>
                <w:szCs w:val="16"/>
              </w:rPr>
              <w:t>4121</w:t>
            </w:r>
          </w:p>
        </w:tc>
        <w:tc>
          <w:tcPr>
            <w:tcW w:w="607"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rPr>
                <w:rFonts w:ascii="Verdana" w:hAnsi="Verdana"/>
                <w:color w:val="000000"/>
                <w:sz w:val="16"/>
                <w:szCs w:val="16"/>
              </w:rPr>
            </w:pPr>
            <w:r>
              <w:rPr>
                <w:rFonts w:ascii="Verdana" w:hAnsi="Verdana"/>
                <w:color w:val="000000"/>
                <w:sz w:val="16"/>
                <w:szCs w:val="16"/>
              </w:rPr>
              <w:t>2059</w:t>
            </w:r>
          </w:p>
        </w:tc>
        <w:tc>
          <w:tcPr>
            <w:tcW w:w="2138" w:type="dxa"/>
            <w:tcBorders>
              <w:top w:val="nil"/>
              <w:left w:val="nil"/>
              <w:bottom w:val="nil"/>
              <w:right w:val="nil"/>
            </w:tcBorders>
            <w:shd w:val="clear" w:color="auto" w:fill="auto"/>
            <w:vAlign w:val="center"/>
            <w:hideMark/>
          </w:tcPr>
          <w:p w:rsidR="004730FB" w:rsidRDefault="004730FB" w:rsidP="004730FB">
            <w:pPr>
              <w:rPr>
                <w:rFonts w:ascii="Verdana" w:hAnsi="Verdana"/>
                <w:color w:val="404040"/>
                <w:sz w:val="16"/>
                <w:szCs w:val="16"/>
              </w:rPr>
            </w:pPr>
            <w:r>
              <w:rPr>
                <w:rFonts w:ascii="Verdana" w:hAnsi="Verdana"/>
                <w:color w:val="404040"/>
                <w:sz w:val="16"/>
                <w:szCs w:val="16"/>
              </w:rPr>
              <w:t>Výkon přenesené působnosti- přestupky</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730FB" w:rsidRDefault="004730FB" w:rsidP="004730FB">
            <w:pPr>
              <w:jc w:val="right"/>
              <w:rPr>
                <w:rFonts w:ascii="Verdana" w:hAnsi="Verdana"/>
                <w:color w:val="000000"/>
                <w:sz w:val="16"/>
                <w:szCs w:val="16"/>
              </w:rPr>
            </w:pPr>
            <w:r>
              <w:rPr>
                <w:rFonts w:ascii="Verdana" w:hAnsi="Verdana"/>
                <w:color w:val="000000"/>
                <w:sz w:val="16"/>
                <w:szCs w:val="16"/>
              </w:rPr>
              <w:t>0</w:t>
            </w:r>
          </w:p>
        </w:tc>
        <w:tc>
          <w:tcPr>
            <w:tcW w:w="1374"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jc w:val="right"/>
              <w:rPr>
                <w:rFonts w:ascii="Verdana" w:hAnsi="Verdana"/>
                <w:color w:val="000000"/>
                <w:sz w:val="16"/>
                <w:szCs w:val="16"/>
              </w:rPr>
            </w:pPr>
            <w:r>
              <w:rPr>
                <w:rFonts w:ascii="Verdana" w:hAnsi="Verdana"/>
                <w:color w:val="000000"/>
                <w:sz w:val="16"/>
                <w:szCs w:val="16"/>
              </w:rPr>
              <w:t>0</w:t>
            </w:r>
          </w:p>
        </w:tc>
        <w:tc>
          <w:tcPr>
            <w:tcW w:w="1536"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jc w:val="right"/>
              <w:rPr>
                <w:rFonts w:ascii="Verdana" w:hAnsi="Verdana"/>
                <w:color w:val="000000"/>
                <w:sz w:val="16"/>
                <w:szCs w:val="16"/>
              </w:rPr>
            </w:pPr>
            <w:r>
              <w:rPr>
                <w:rFonts w:ascii="Verdana" w:hAnsi="Verdana"/>
                <w:color w:val="000000"/>
                <w:sz w:val="16"/>
                <w:szCs w:val="16"/>
              </w:rPr>
              <w:t>66 000</w:t>
            </w:r>
          </w:p>
        </w:tc>
        <w:tc>
          <w:tcPr>
            <w:tcW w:w="1137"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jc w:val="right"/>
              <w:rPr>
                <w:rFonts w:ascii="Verdana" w:hAnsi="Verdana"/>
                <w:color w:val="000000"/>
                <w:sz w:val="16"/>
                <w:szCs w:val="16"/>
              </w:rPr>
            </w:pPr>
            <w:r>
              <w:rPr>
                <w:rFonts w:ascii="Verdana" w:hAnsi="Verdana"/>
                <w:color w:val="000000"/>
                <w:sz w:val="16"/>
                <w:szCs w:val="16"/>
              </w:rPr>
              <w:t>66 000</w:t>
            </w:r>
          </w:p>
        </w:tc>
      </w:tr>
      <w:tr w:rsidR="004730FB" w:rsidTr="004730FB">
        <w:trPr>
          <w:trHeight w:val="465"/>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4730FB" w:rsidRDefault="004730FB" w:rsidP="004730FB">
            <w:pPr>
              <w:jc w:val="center"/>
              <w:rPr>
                <w:rFonts w:ascii="Verdana" w:hAnsi="Verdana"/>
                <w:color w:val="000000"/>
                <w:sz w:val="16"/>
                <w:szCs w:val="16"/>
              </w:rPr>
            </w:pPr>
            <w:r>
              <w:rPr>
                <w:rFonts w:ascii="Verdana" w:hAnsi="Verdana"/>
                <w:color w:val="000000"/>
                <w:sz w:val="16"/>
                <w:szCs w:val="16"/>
              </w:rPr>
              <w:t>6171</w:t>
            </w:r>
          </w:p>
        </w:tc>
        <w:tc>
          <w:tcPr>
            <w:tcW w:w="730"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jc w:val="center"/>
              <w:rPr>
                <w:rFonts w:ascii="Verdana" w:hAnsi="Verdana"/>
                <w:color w:val="000000"/>
                <w:sz w:val="16"/>
                <w:szCs w:val="16"/>
              </w:rPr>
            </w:pPr>
            <w:r>
              <w:rPr>
                <w:rFonts w:ascii="Verdana" w:hAnsi="Verdana"/>
                <w:color w:val="000000"/>
                <w:sz w:val="16"/>
                <w:szCs w:val="16"/>
              </w:rPr>
              <w:t>5901</w:t>
            </w:r>
          </w:p>
        </w:tc>
        <w:tc>
          <w:tcPr>
            <w:tcW w:w="607"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jc w:val="center"/>
              <w:rPr>
                <w:rFonts w:ascii="Verdana" w:hAnsi="Verdana"/>
                <w:color w:val="000000"/>
                <w:sz w:val="16"/>
                <w:szCs w:val="16"/>
              </w:rPr>
            </w:pPr>
            <w:r>
              <w:rPr>
                <w:rFonts w:ascii="Verdana" w:hAnsi="Verdana"/>
                <w:color w:val="000000"/>
                <w:sz w:val="16"/>
                <w:szCs w:val="16"/>
              </w:rPr>
              <w:t>2200</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4730FB" w:rsidRDefault="004730FB" w:rsidP="004730FB">
            <w:pPr>
              <w:rPr>
                <w:rFonts w:ascii="Verdana" w:hAnsi="Verdana"/>
                <w:color w:val="000000"/>
                <w:sz w:val="16"/>
                <w:szCs w:val="16"/>
              </w:rPr>
            </w:pPr>
            <w:r>
              <w:rPr>
                <w:rFonts w:ascii="Verdana" w:hAnsi="Verdana"/>
                <w:color w:val="000000"/>
                <w:sz w:val="16"/>
                <w:szCs w:val="16"/>
              </w:rPr>
              <w:t>Neinvestiční rozpočtová rezerva</w:t>
            </w:r>
          </w:p>
        </w:tc>
        <w:tc>
          <w:tcPr>
            <w:tcW w:w="1536"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jc w:val="right"/>
              <w:rPr>
                <w:rFonts w:ascii="Verdana" w:hAnsi="Verdana"/>
                <w:color w:val="000000"/>
                <w:sz w:val="16"/>
                <w:szCs w:val="16"/>
              </w:rPr>
            </w:pPr>
            <w:r>
              <w:rPr>
                <w:rFonts w:ascii="Verdana" w:hAnsi="Verdana"/>
                <w:color w:val="000000"/>
                <w:sz w:val="16"/>
                <w:szCs w:val="16"/>
              </w:rPr>
              <w:t>200 000</w:t>
            </w:r>
          </w:p>
        </w:tc>
        <w:tc>
          <w:tcPr>
            <w:tcW w:w="1374"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jc w:val="right"/>
              <w:rPr>
                <w:rFonts w:ascii="Verdana" w:hAnsi="Verdana"/>
                <w:color w:val="000000"/>
                <w:sz w:val="16"/>
                <w:szCs w:val="16"/>
              </w:rPr>
            </w:pPr>
            <w:r>
              <w:rPr>
                <w:rFonts w:ascii="Verdana" w:hAnsi="Verdana"/>
                <w:color w:val="000000"/>
                <w:sz w:val="16"/>
                <w:szCs w:val="16"/>
              </w:rPr>
              <w:t>2 165 776</w:t>
            </w:r>
          </w:p>
        </w:tc>
        <w:tc>
          <w:tcPr>
            <w:tcW w:w="1536"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jc w:val="right"/>
              <w:rPr>
                <w:rFonts w:ascii="Verdana" w:hAnsi="Verdana"/>
                <w:color w:val="000000"/>
                <w:sz w:val="16"/>
                <w:szCs w:val="16"/>
              </w:rPr>
            </w:pPr>
            <w:r>
              <w:rPr>
                <w:rFonts w:ascii="Verdana" w:hAnsi="Verdana"/>
                <w:color w:val="000000"/>
                <w:sz w:val="16"/>
                <w:szCs w:val="16"/>
              </w:rPr>
              <w:t>66 000</w:t>
            </w:r>
          </w:p>
        </w:tc>
        <w:tc>
          <w:tcPr>
            <w:tcW w:w="1137" w:type="dxa"/>
            <w:tcBorders>
              <w:top w:val="nil"/>
              <w:left w:val="nil"/>
              <w:bottom w:val="single" w:sz="4" w:space="0" w:color="auto"/>
              <w:right w:val="single" w:sz="4" w:space="0" w:color="auto"/>
            </w:tcBorders>
            <w:shd w:val="clear" w:color="auto" w:fill="auto"/>
            <w:noWrap/>
            <w:vAlign w:val="center"/>
            <w:hideMark/>
          </w:tcPr>
          <w:p w:rsidR="004730FB" w:rsidRDefault="004730FB" w:rsidP="004730FB">
            <w:pPr>
              <w:jc w:val="right"/>
              <w:rPr>
                <w:rFonts w:ascii="Verdana" w:hAnsi="Verdana"/>
                <w:color w:val="000000"/>
                <w:sz w:val="16"/>
                <w:szCs w:val="16"/>
              </w:rPr>
            </w:pPr>
            <w:r>
              <w:rPr>
                <w:rFonts w:ascii="Verdana" w:hAnsi="Verdana"/>
                <w:color w:val="000000"/>
                <w:sz w:val="16"/>
                <w:szCs w:val="16"/>
              </w:rPr>
              <w:t>2 231 776</w:t>
            </w:r>
          </w:p>
        </w:tc>
      </w:tr>
    </w:tbl>
    <w:p w:rsidR="004730FB" w:rsidRDefault="004730FB" w:rsidP="004730FB">
      <w:pPr>
        <w:autoSpaceDE w:val="0"/>
        <w:autoSpaceDN w:val="0"/>
        <w:adjustRightInd w:val="0"/>
        <w:spacing w:before="120" w:after="120"/>
        <w:jc w:val="both"/>
        <w:rPr>
          <w:rFonts w:ascii="Verdana" w:hAnsi="Verdana"/>
          <w:sz w:val="20"/>
          <w:szCs w:val="20"/>
        </w:rPr>
      </w:pPr>
    </w:p>
    <w:p w:rsidR="004730FB" w:rsidRPr="005A5C3E" w:rsidRDefault="004730FB" w:rsidP="004730FB">
      <w:pPr>
        <w:jc w:val="both"/>
        <w:rPr>
          <w:rFonts w:ascii="Verdana" w:hAnsi="Verdana"/>
          <w:sz w:val="20"/>
          <w:szCs w:val="20"/>
        </w:rPr>
      </w:pPr>
      <w:r>
        <w:rPr>
          <w:rFonts w:ascii="Verdana" w:hAnsi="Verdana"/>
          <w:b/>
          <w:sz w:val="20"/>
          <w:szCs w:val="20"/>
        </w:rPr>
        <w:t>Ro</w:t>
      </w:r>
      <w:r w:rsidRPr="005A5C3E">
        <w:rPr>
          <w:rFonts w:ascii="Verdana" w:hAnsi="Verdana"/>
          <w:b/>
          <w:sz w:val="20"/>
          <w:szCs w:val="20"/>
        </w:rPr>
        <w:t xml:space="preserve">zpočtové opatření </w:t>
      </w:r>
      <w:r>
        <w:rPr>
          <w:rFonts w:ascii="Verdana" w:hAnsi="Verdana"/>
          <w:b/>
          <w:sz w:val="20"/>
          <w:szCs w:val="20"/>
        </w:rPr>
        <w:t>EKO č.</w:t>
      </w:r>
      <w:r w:rsidRPr="00345AA1">
        <w:rPr>
          <w:rFonts w:ascii="Verdana" w:hAnsi="Verdana"/>
          <w:b/>
          <w:sz w:val="20"/>
          <w:szCs w:val="20"/>
        </w:rPr>
        <w:t xml:space="preserve"> </w:t>
      </w:r>
      <w:r>
        <w:rPr>
          <w:rFonts w:ascii="Verdana" w:hAnsi="Verdana"/>
          <w:b/>
          <w:sz w:val="20"/>
          <w:szCs w:val="20"/>
        </w:rPr>
        <w:t>8</w:t>
      </w:r>
      <w:r w:rsidRPr="005A5C3E">
        <w:rPr>
          <w:rFonts w:ascii="Verdana" w:hAnsi="Verdana"/>
          <w:sz w:val="20"/>
          <w:szCs w:val="20"/>
        </w:rPr>
        <w:t xml:space="preserve"> - </w:t>
      </w:r>
      <w:r>
        <w:rPr>
          <w:rFonts w:ascii="Verdana" w:hAnsi="Verdana"/>
          <w:sz w:val="20"/>
          <w:szCs w:val="20"/>
        </w:rPr>
        <w:t>navýšení</w:t>
      </w:r>
      <w:r w:rsidRPr="005A5C3E">
        <w:rPr>
          <w:rFonts w:ascii="Verdana" w:hAnsi="Verdana"/>
          <w:sz w:val="20"/>
          <w:szCs w:val="20"/>
        </w:rPr>
        <w:t xml:space="preserve"> rozpočtových prostředků (§ 16, odst. 3, písm. </w:t>
      </w:r>
      <w:r>
        <w:rPr>
          <w:rFonts w:ascii="Verdana" w:hAnsi="Verdana"/>
          <w:sz w:val="20"/>
          <w:szCs w:val="20"/>
        </w:rPr>
        <w:t>b</w:t>
      </w:r>
      <w:r w:rsidRPr="005A5C3E">
        <w:rPr>
          <w:rFonts w:ascii="Verdana" w:hAnsi="Verdana"/>
          <w:sz w:val="20"/>
          <w:szCs w:val="20"/>
        </w:rPr>
        <w:t>) zákona č. 250/2000 Sb.)</w:t>
      </w:r>
    </w:p>
    <w:p w:rsidR="004730FB" w:rsidRPr="005A5C3E" w:rsidRDefault="004730FB" w:rsidP="004730FB">
      <w:pPr>
        <w:tabs>
          <w:tab w:val="left" w:pos="6663"/>
        </w:tabs>
        <w:jc w:val="both"/>
        <w:rPr>
          <w:rFonts w:ascii="Verdana" w:hAnsi="Verdana"/>
          <w:sz w:val="20"/>
          <w:szCs w:val="20"/>
        </w:rPr>
      </w:pPr>
    </w:p>
    <w:p w:rsidR="004730FB" w:rsidRPr="00180188" w:rsidRDefault="004730FB" w:rsidP="004730FB">
      <w:pPr>
        <w:jc w:val="both"/>
        <w:rPr>
          <w:rFonts w:ascii="Verdana" w:hAnsi="Verdana"/>
          <w:b/>
          <w:sz w:val="20"/>
          <w:szCs w:val="20"/>
        </w:rPr>
      </w:pPr>
      <w:r w:rsidRPr="00180188">
        <w:rPr>
          <w:rFonts w:ascii="Verdana" w:hAnsi="Verdana"/>
          <w:b/>
          <w:sz w:val="20"/>
          <w:szCs w:val="20"/>
        </w:rPr>
        <w:t xml:space="preserve">Částka </w:t>
      </w:r>
      <w:r>
        <w:rPr>
          <w:rFonts w:ascii="Verdana" w:hAnsi="Verdana"/>
          <w:b/>
          <w:sz w:val="20"/>
          <w:szCs w:val="20"/>
        </w:rPr>
        <w:t>2 420 000 Kč</w:t>
      </w:r>
    </w:p>
    <w:p w:rsidR="004730FB" w:rsidRPr="00180188" w:rsidRDefault="004730FB" w:rsidP="004730FB">
      <w:pPr>
        <w:jc w:val="both"/>
        <w:rPr>
          <w:rFonts w:ascii="Verdana" w:hAnsi="Verdana"/>
          <w:sz w:val="20"/>
          <w:szCs w:val="20"/>
        </w:rPr>
      </w:pPr>
    </w:p>
    <w:p w:rsidR="004730FB" w:rsidRDefault="004730FB" w:rsidP="004730FB">
      <w:pPr>
        <w:jc w:val="both"/>
        <w:rPr>
          <w:rFonts w:ascii="Verdana" w:hAnsi="Verdana"/>
          <w:sz w:val="20"/>
          <w:szCs w:val="20"/>
        </w:rPr>
      </w:pPr>
      <w:r w:rsidRPr="00180188">
        <w:rPr>
          <w:rFonts w:ascii="Verdana" w:hAnsi="Verdana"/>
          <w:b/>
          <w:sz w:val="20"/>
          <w:szCs w:val="20"/>
        </w:rPr>
        <w:t>Zdůvodnění</w:t>
      </w:r>
      <w:r w:rsidRPr="00180188">
        <w:rPr>
          <w:rFonts w:ascii="Verdana" w:hAnsi="Verdana"/>
          <w:sz w:val="20"/>
          <w:szCs w:val="20"/>
        </w:rPr>
        <w:t xml:space="preserve">: </w:t>
      </w:r>
      <w:r w:rsidRPr="00FA2D64">
        <w:rPr>
          <w:rFonts w:ascii="Verdana" w:hAnsi="Verdana"/>
          <w:sz w:val="20"/>
          <w:szCs w:val="20"/>
        </w:rPr>
        <w:t>Položku 5362 (platbu DPH) jsme p</w:t>
      </w:r>
      <w:r>
        <w:rPr>
          <w:rFonts w:ascii="Verdana" w:hAnsi="Verdana"/>
          <w:sz w:val="20"/>
          <w:szCs w:val="20"/>
        </w:rPr>
        <w:t>redikovali ve výši 1,5 mil. Kč n</w:t>
      </w:r>
      <w:r w:rsidRPr="00FA2D64">
        <w:rPr>
          <w:rFonts w:ascii="Verdana" w:hAnsi="Verdana"/>
          <w:sz w:val="20"/>
          <w:szCs w:val="20"/>
        </w:rPr>
        <w:t xml:space="preserve">a celý rok 2021 s ohledem na roky minulé. </w:t>
      </w:r>
      <w:r>
        <w:rPr>
          <w:rFonts w:ascii="Verdana" w:hAnsi="Verdana"/>
          <w:sz w:val="20"/>
          <w:szCs w:val="20"/>
        </w:rPr>
        <w:t>Bohužel se během prvního čtvrtletí ukázala jako nesprávná. Je to dáno hlavně</w:t>
      </w:r>
      <w:r w:rsidRPr="00FA2D64">
        <w:rPr>
          <w:rFonts w:ascii="Verdana" w:hAnsi="Verdana"/>
          <w:sz w:val="20"/>
          <w:szCs w:val="20"/>
        </w:rPr>
        <w:t xml:space="preserve"> realizací velkých investičních akcí, kde jsme si jako město mohli uplatnit část DPH (Sportovní hala </w:t>
      </w:r>
      <w:proofErr w:type="spellStart"/>
      <w:r w:rsidRPr="00FA2D64">
        <w:rPr>
          <w:rFonts w:ascii="Verdana" w:hAnsi="Verdana"/>
          <w:sz w:val="20"/>
          <w:szCs w:val="20"/>
        </w:rPr>
        <w:t>Klimeška</w:t>
      </w:r>
      <w:proofErr w:type="spellEnd"/>
      <w:r w:rsidRPr="00FA2D64">
        <w:rPr>
          <w:rFonts w:ascii="Verdana" w:hAnsi="Verdana"/>
          <w:sz w:val="20"/>
          <w:szCs w:val="20"/>
        </w:rPr>
        <w:t xml:space="preserve">, </w:t>
      </w:r>
      <w:proofErr w:type="spellStart"/>
      <w:r w:rsidRPr="00FA2D64">
        <w:rPr>
          <w:rFonts w:ascii="Verdana" w:hAnsi="Verdana"/>
          <w:sz w:val="20"/>
          <w:szCs w:val="20"/>
        </w:rPr>
        <w:t>Tebis</w:t>
      </w:r>
      <w:proofErr w:type="spellEnd"/>
      <w:r w:rsidRPr="00FA2D64">
        <w:rPr>
          <w:rFonts w:ascii="Verdana" w:hAnsi="Verdana"/>
          <w:sz w:val="20"/>
          <w:szCs w:val="20"/>
        </w:rPr>
        <w:t xml:space="preserve">). Potřebu navýšení položky ovlivnil i </w:t>
      </w:r>
      <w:r>
        <w:rPr>
          <w:rFonts w:ascii="Verdana" w:hAnsi="Verdana"/>
          <w:sz w:val="20"/>
          <w:szCs w:val="20"/>
        </w:rPr>
        <w:t xml:space="preserve">prosincový </w:t>
      </w:r>
      <w:r w:rsidRPr="00FA2D64">
        <w:rPr>
          <w:rFonts w:ascii="Verdana" w:hAnsi="Verdana"/>
          <w:sz w:val="20"/>
          <w:szCs w:val="20"/>
        </w:rPr>
        <w:t>předpis nájemného</w:t>
      </w:r>
      <w:r>
        <w:rPr>
          <w:rFonts w:ascii="Verdana" w:hAnsi="Verdana"/>
          <w:sz w:val="20"/>
          <w:szCs w:val="20"/>
        </w:rPr>
        <w:t xml:space="preserve"> městské společnosti</w:t>
      </w:r>
      <w:r w:rsidRPr="00FA2D64">
        <w:rPr>
          <w:rFonts w:ascii="Verdana" w:hAnsi="Verdana"/>
          <w:sz w:val="20"/>
          <w:szCs w:val="20"/>
        </w:rPr>
        <w:t xml:space="preserve"> </w:t>
      </w:r>
      <w:proofErr w:type="spellStart"/>
      <w:r w:rsidRPr="00FA2D64">
        <w:rPr>
          <w:rFonts w:ascii="Verdana" w:hAnsi="Verdana"/>
          <w:sz w:val="20"/>
          <w:szCs w:val="20"/>
        </w:rPr>
        <w:t>MLaR</w:t>
      </w:r>
      <w:proofErr w:type="spellEnd"/>
      <w:r w:rsidRPr="00FA2D64">
        <w:rPr>
          <w:rFonts w:ascii="Verdana" w:hAnsi="Verdana"/>
          <w:sz w:val="20"/>
          <w:szCs w:val="20"/>
        </w:rPr>
        <w:t xml:space="preserve">, </w:t>
      </w:r>
      <w:r>
        <w:rPr>
          <w:rFonts w:ascii="Verdana" w:hAnsi="Verdana"/>
          <w:sz w:val="20"/>
          <w:szCs w:val="20"/>
        </w:rPr>
        <w:t>jehož výše</w:t>
      </w:r>
      <w:r w:rsidRPr="00FA2D64">
        <w:rPr>
          <w:rFonts w:ascii="Verdana" w:hAnsi="Verdana"/>
          <w:sz w:val="20"/>
          <w:szCs w:val="20"/>
        </w:rPr>
        <w:t xml:space="preserve"> vycház</w:t>
      </w:r>
      <w:r>
        <w:rPr>
          <w:rFonts w:ascii="Verdana" w:hAnsi="Verdana"/>
          <w:sz w:val="20"/>
          <w:szCs w:val="20"/>
        </w:rPr>
        <w:t xml:space="preserve">ela ze zisku roku </w:t>
      </w:r>
      <w:proofErr w:type="gramStart"/>
      <w:r>
        <w:rPr>
          <w:rFonts w:ascii="Verdana" w:hAnsi="Verdana"/>
          <w:sz w:val="20"/>
          <w:szCs w:val="20"/>
        </w:rPr>
        <w:t>2019 a tudíž</w:t>
      </w:r>
      <w:proofErr w:type="gramEnd"/>
      <w:r>
        <w:rPr>
          <w:rFonts w:ascii="Verdana" w:hAnsi="Verdana"/>
          <w:sz w:val="20"/>
          <w:szCs w:val="20"/>
        </w:rPr>
        <w:t xml:space="preserve"> jsme z částky</w:t>
      </w:r>
      <w:r w:rsidRPr="00FA2D64">
        <w:rPr>
          <w:rFonts w:ascii="Verdana" w:hAnsi="Verdana"/>
          <w:sz w:val="20"/>
          <w:szCs w:val="20"/>
        </w:rPr>
        <w:t xml:space="preserve"> </w:t>
      </w:r>
      <w:r>
        <w:rPr>
          <w:rFonts w:ascii="Verdana" w:hAnsi="Verdana"/>
          <w:sz w:val="20"/>
          <w:szCs w:val="20"/>
        </w:rPr>
        <w:t>8 mil. Kč odvedli daň ve výši 1,68 mil. Kč.</w:t>
      </w:r>
    </w:p>
    <w:p w:rsidR="004730FB" w:rsidRDefault="004730FB" w:rsidP="004730FB">
      <w:pPr>
        <w:jc w:val="both"/>
        <w:rPr>
          <w:rFonts w:ascii="Verdana" w:hAnsi="Verdana"/>
          <w:sz w:val="20"/>
          <w:szCs w:val="20"/>
        </w:rPr>
      </w:pPr>
    </w:p>
    <w:p w:rsidR="004730FB" w:rsidRDefault="004730FB" w:rsidP="004730FB">
      <w:pPr>
        <w:jc w:val="both"/>
        <w:rPr>
          <w:rFonts w:ascii="Verdana" w:hAnsi="Verdana"/>
          <w:color w:val="000000"/>
          <w:sz w:val="20"/>
          <w:szCs w:val="20"/>
        </w:rPr>
      </w:pPr>
      <w:r w:rsidRPr="00B7140D">
        <w:rPr>
          <w:rFonts w:ascii="Verdana" w:hAnsi="Verdana"/>
          <w:color w:val="000000"/>
          <w:sz w:val="20"/>
          <w:szCs w:val="20"/>
        </w:rPr>
        <w:t>Čerpání položky platby DPH v jednotlivých letech</w:t>
      </w:r>
    </w:p>
    <w:p w:rsidR="004730FB" w:rsidRPr="00B7140D" w:rsidRDefault="004730FB" w:rsidP="004730FB">
      <w:pPr>
        <w:jc w:val="both"/>
        <w:rPr>
          <w:rFonts w:ascii="Verdana" w:hAnsi="Verdana"/>
          <w:sz w:val="20"/>
          <w:szCs w:val="20"/>
        </w:rPr>
      </w:pPr>
    </w:p>
    <w:tbl>
      <w:tblPr>
        <w:tblW w:w="9654" w:type="dxa"/>
        <w:tblInd w:w="55" w:type="dxa"/>
        <w:tblCellMar>
          <w:left w:w="70" w:type="dxa"/>
          <w:right w:w="70" w:type="dxa"/>
        </w:tblCellMar>
        <w:tblLook w:val="04A0" w:firstRow="1" w:lastRow="0" w:firstColumn="1" w:lastColumn="0" w:noHBand="0" w:noVBand="1"/>
      </w:tblPr>
      <w:tblGrid>
        <w:gridCol w:w="167"/>
        <w:gridCol w:w="2035"/>
        <w:gridCol w:w="1944"/>
        <w:gridCol w:w="2360"/>
        <w:gridCol w:w="3148"/>
      </w:tblGrid>
      <w:tr w:rsidR="004730FB" w:rsidRPr="00B7140D" w:rsidTr="004730FB">
        <w:trPr>
          <w:trHeight w:val="288"/>
        </w:trPr>
        <w:tc>
          <w:tcPr>
            <w:tcW w:w="167" w:type="dxa"/>
            <w:tcBorders>
              <w:top w:val="nil"/>
              <w:left w:val="nil"/>
              <w:bottom w:val="nil"/>
              <w:right w:val="single" w:sz="4" w:space="0" w:color="auto"/>
            </w:tcBorders>
            <w:shd w:val="clear" w:color="auto" w:fill="auto"/>
            <w:noWrap/>
            <w:vAlign w:val="bottom"/>
            <w:hideMark/>
          </w:tcPr>
          <w:p w:rsidR="004730FB" w:rsidRPr="00B7140D" w:rsidRDefault="004730FB" w:rsidP="004730FB">
            <w:pPr>
              <w:rPr>
                <w:rFonts w:ascii="Verdana" w:hAnsi="Verdana"/>
                <w:b/>
                <w:bCs/>
                <w:color w:val="000000"/>
                <w:sz w:val="20"/>
                <w:szCs w:val="20"/>
              </w:rPr>
            </w:pPr>
          </w:p>
        </w:tc>
        <w:tc>
          <w:tcPr>
            <w:tcW w:w="203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4730FB" w:rsidRPr="00F74462" w:rsidRDefault="004730FB" w:rsidP="004730FB">
            <w:pPr>
              <w:jc w:val="center"/>
              <w:rPr>
                <w:rFonts w:ascii="Verdana" w:hAnsi="Verdana"/>
                <w:bCs/>
                <w:color w:val="000000"/>
                <w:sz w:val="18"/>
                <w:szCs w:val="20"/>
              </w:rPr>
            </w:pPr>
            <w:r w:rsidRPr="00F74462">
              <w:rPr>
                <w:rFonts w:ascii="Verdana" w:hAnsi="Verdana"/>
                <w:bCs/>
                <w:color w:val="000000"/>
                <w:sz w:val="18"/>
                <w:szCs w:val="20"/>
              </w:rPr>
              <w:t>2018</w:t>
            </w:r>
          </w:p>
        </w:tc>
        <w:tc>
          <w:tcPr>
            <w:tcW w:w="1944"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4730FB" w:rsidRPr="00F74462" w:rsidRDefault="004730FB" w:rsidP="004730FB">
            <w:pPr>
              <w:jc w:val="center"/>
              <w:rPr>
                <w:rFonts w:ascii="Verdana" w:hAnsi="Verdana"/>
                <w:bCs/>
                <w:color w:val="000000"/>
                <w:sz w:val="18"/>
                <w:szCs w:val="20"/>
              </w:rPr>
            </w:pPr>
            <w:r w:rsidRPr="00F74462">
              <w:rPr>
                <w:rFonts w:ascii="Verdana" w:hAnsi="Verdana"/>
                <w:bCs/>
                <w:color w:val="000000"/>
                <w:sz w:val="18"/>
                <w:szCs w:val="20"/>
              </w:rPr>
              <w:t>2019</w:t>
            </w:r>
          </w:p>
        </w:tc>
        <w:tc>
          <w:tcPr>
            <w:tcW w:w="23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4730FB" w:rsidRPr="00F74462" w:rsidRDefault="004730FB" w:rsidP="004730FB">
            <w:pPr>
              <w:jc w:val="center"/>
              <w:rPr>
                <w:rFonts w:ascii="Verdana" w:hAnsi="Verdana"/>
                <w:bCs/>
                <w:color w:val="000000"/>
                <w:sz w:val="18"/>
                <w:szCs w:val="20"/>
              </w:rPr>
            </w:pPr>
            <w:r w:rsidRPr="00F74462">
              <w:rPr>
                <w:rFonts w:ascii="Verdana" w:hAnsi="Verdana"/>
                <w:bCs/>
                <w:color w:val="000000"/>
                <w:sz w:val="18"/>
                <w:szCs w:val="20"/>
              </w:rPr>
              <w:t>2020</w:t>
            </w:r>
          </w:p>
        </w:tc>
        <w:tc>
          <w:tcPr>
            <w:tcW w:w="314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4730FB" w:rsidRPr="00F74462" w:rsidRDefault="004730FB" w:rsidP="004730FB">
            <w:pPr>
              <w:jc w:val="center"/>
              <w:rPr>
                <w:rFonts w:ascii="Verdana" w:hAnsi="Verdana"/>
                <w:bCs/>
                <w:color w:val="000000"/>
                <w:sz w:val="18"/>
                <w:szCs w:val="20"/>
              </w:rPr>
            </w:pPr>
            <w:r w:rsidRPr="00F74462">
              <w:rPr>
                <w:rFonts w:ascii="Verdana" w:hAnsi="Verdana"/>
                <w:bCs/>
                <w:color w:val="000000"/>
                <w:sz w:val="18"/>
                <w:szCs w:val="20"/>
              </w:rPr>
              <w:t>2021 – aktualizovaná predikce</w:t>
            </w:r>
          </w:p>
        </w:tc>
      </w:tr>
      <w:tr w:rsidR="004730FB" w:rsidRPr="00B7140D" w:rsidTr="004730FB">
        <w:trPr>
          <w:trHeight w:val="288"/>
        </w:trPr>
        <w:tc>
          <w:tcPr>
            <w:tcW w:w="167" w:type="dxa"/>
            <w:tcBorders>
              <w:top w:val="nil"/>
              <w:left w:val="nil"/>
              <w:bottom w:val="nil"/>
              <w:right w:val="single" w:sz="4" w:space="0" w:color="auto"/>
            </w:tcBorders>
            <w:shd w:val="clear" w:color="auto" w:fill="auto"/>
            <w:noWrap/>
            <w:vAlign w:val="bottom"/>
            <w:hideMark/>
          </w:tcPr>
          <w:p w:rsidR="004730FB" w:rsidRPr="00B7140D" w:rsidRDefault="004730FB" w:rsidP="004730FB">
            <w:pPr>
              <w:rPr>
                <w:rFonts w:ascii="Verdana" w:hAnsi="Verdana"/>
                <w:color w:val="000000"/>
                <w:sz w:val="20"/>
                <w:szCs w:val="20"/>
              </w:rPr>
            </w:pPr>
            <w:r w:rsidRPr="00B7140D">
              <w:rPr>
                <w:rFonts w:ascii="Verdana" w:hAnsi="Verdana"/>
                <w:color w:val="000000"/>
                <w:sz w:val="20"/>
                <w:szCs w:val="20"/>
              </w:rPr>
              <w:t xml:space="preserve">          </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FB" w:rsidRPr="00F74462" w:rsidRDefault="004730FB" w:rsidP="004730FB">
            <w:pPr>
              <w:jc w:val="center"/>
              <w:rPr>
                <w:rFonts w:ascii="Verdana" w:hAnsi="Verdana"/>
                <w:color w:val="FF0000"/>
                <w:sz w:val="18"/>
                <w:szCs w:val="20"/>
              </w:rPr>
            </w:pPr>
            <w:r w:rsidRPr="00F74462">
              <w:rPr>
                <w:rFonts w:ascii="Verdana" w:hAnsi="Verdana"/>
                <w:color w:val="FF0000"/>
                <w:sz w:val="18"/>
                <w:szCs w:val="20"/>
              </w:rPr>
              <w:t>-2 008 163,00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FB" w:rsidRPr="00F74462" w:rsidRDefault="004730FB" w:rsidP="004730FB">
            <w:pPr>
              <w:jc w:val="center"/>
              <w:rPr>
                <w:rFonts w:ascii="Verdana" w:hAnsi="Verdana"/>
                <w:color w:val="FF0000"/>
                <w:sz w:val="18"/>
                <w:szCs w:val="20"/>
              </w:rPr>
            </w:pPr>
            <w:r w:rsidRPr="00F74462">
              <w:rPr>
                <w:rFonts w:ascii="Verdana" w:hAnsi="Verdana"/>
                <w:color w:val="FF0000"/>
                <w:sz w:val="18"/>
                <w:szCs w:val="20"/>
              </w:rPr>
              <w:t>-1 435 209,63</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FB" w:rsidRPr="00F74462" w:rsidRDefault="004730FB" w:rsidP="004730FB">
            <w:pPr>
              <w:jc w:val="center"/>
              <w:rPr>
                <w:rFonts w:ascii="Verdana" w:hAnsi="Verdana"/>
                <w:color w:val="FF0000"/>
                <w:sz w:val="18"/>
                <w:szCs w:val="20"/>
              </w:rPr>
            </w:pPr>
            <w:r w:rsidRPr="00F74462">
              <w:rPr>
                <w:rFonts w:ascii="Verdana" w:hAnsi="Verdana"/>
                <w:color w:val="FF0000"/>
                <w:sz w:val="18"/>
                <w:szCs w:val="20"/>
              </w:rPr>
              <w:t>-5 456 102,00</w:t>
            </w:r>
          </w:p>
        </w:tc>
        <w:tc>
          <w:tcPr>
            <w:tcW w:w="3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FB" w:rsidRPr="00F74462" w:rsidRDefault="004730FB" w:rsidP="004730FB">
            <w:pPr>
              <w:jc w:val="center"/>
              <w:rPr>
                <w:rFonts w:ascii="Verdana" w:hAnsi="Verdana"/>
                <w:color w:val="000000"/>
                <w:sz w:val="18"/>
                <w:szCs w:val="20"/>
              </w:rPr>
            </w:pPr>
            <w:r w:rsidRPr="00F74462">
              <w:rPr>
                <w:rFonts w:ascii="Verdana" w:hAnsi="Verdana"/>
                <w:color w:val="000000"/>
                <w:sz w:val="18"/>
                <w:szCs w:val="20"/>
              </w:rPr>
              <w:t>3 920 000,00</w:t>
            </w:r>
          </w:p>
        </w:tc>
      </w:tr>
    </w:tbl>
    <w:p w:rsidR="004730FB" w:rsidRDefault="004730FB" w:rsidP="004730FB">
      <w:pPr>
        <w:jc w:val="both"/>
        <w:rPr>
          <w:rFonts w:ascii="Verdana" w:hAnsi="Verdana"/>
          <w:sz w:val="20"/>
          <w:szCs w:val="20"/>
        </w:rPr>
      </w:pPr>
    </w:p>
    <w:p w:rsidR="004730FB" w:rsidRDefault="004730FB" w:rsidP="004730FB">
      <w:pPr>
        <w:pStyle w:val="n00"/>
        <w:rPr>
          <w:rFonts w:ascii="Verdana" w:hAnsi="Verdana"/>
          <w:sz w:val="20"/>
        </w:rPr>
      </w:pPr>
      <w:r w:rsidRPr="00BD3265">
        <w:rPr>
          <w:rFonts w:ascii="Verdana" w:hAnsi="Verdana"/>
          <w:sz w:val="20"/>
        </w:rPr>
        <w:t>Při hodnocení, zda a případně na jaký odpočet bude mít obec nárok</w:t>
      </w:r>
      <w:r>
        <w:rPr>
          <w:rFonts w:ascii="Verdana" w:hAnsi="Verdana"/>
          <w:sz w:val="20"/>
        </w:rPr>
        <w:t>,</w:t>
      </w:r>
      <w:r w:rsidRPr="00BD3265">
        <w:rPr>
          <w:rFonts w:ascii="Verdana" w:hAnsi="Verdana"/>
          <w:sz w:val="20"/>
        </w:rPr>
        <w:t xml:space="preserve"> je nezbytné prvotně hodnotit, k jaké aktivitě obec konkrétní </w:t>
      </w:r>
      <w:r>
        <w:rPr>
          <w:rFonts w:ascii="Verdana" w:hAnsi="Verdana"/>
          <w:sz w:val="20"/>
        </w:rPr>
        <w:t>výstup</w:t>
      </w:r>
      <w:r w:rsidRPr="00BD3265">
        <w:rPr>
          <w:rFonts w:ascii="Verdana" w:hAnsi="Verdana"/>
          <w:sz w:val="20"/>
        </w:rPr>
        <w:t xml:space="preserve"> použije</w:t>
      </w:r>
      <w:r>
        <w:rPr>
          <w:rFonts w:ascii="Verdana" w:hAnsi="Verdana"/>
          <w:sz w:val="20"/>
        </w:rPr>
        <w:t>. Pro ilustraci uvádím tabulku:</w:t>
      </w:r>
    </w:p>
    <w:p w:rsidR="004730FB" w:rsidRDefault="004730FB" w:rsidP="004730FB">
      <w:pPr>
        <w:pStyle w:val="n00"/>
        <w:rPr>
          <w:rFonts w:ascii="Verdana" w:hAnsi="Verdana"/>
          <w:sz w:val="20"/>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827"/>
      </w:tblGrid>
      <w:tr w:rsidR="004730FB" w:rsidRPr="00BD3265" w:rsidTr="004730FB">
        <w:trPr>
          <w:trHeight w:val="430"/>
        </w:trPr>
        <w:tc>
          <w:tcPr>
            <w:tcW w:w="5103" w:type="dxa"/>
          </w:tcPr>
          <w:p w:rsidR="004730FB" w:rsidRPr="00FE3C8A" w:rsidRDefault="004730FB" w:rsidP="004730FB">
            <w:pPr>
              <w:pStyle w:val="n00"/>
              <w:ind w:left="34"/>
              <w:jc w:val="left"/>
              <w:rPr>
                <w:rFonts w:ascii="Verdana" w:hAnsi="Verdana" w:cs="Arial"/>
                <w:b/>
                <w:sz w:val="20"/>
              </w:rPr>
            </w:pPr>
            <w:r w:rsidRPr="00FE3C8A">
              <w:rPr>
                <w:rFonts w:ascii="Verdana" w:hAnsi="Verdana" w:cs="Arial"/>
                <w:b/>
                <w:sz w:val="20"/>
              </w:rPr>
              <w:t>Kategorie výstupu (k čemu použito)</w:t>
            </w:r>
          </w:p>
        </w:tc>
        <w:tc>
          <w:tcPr>
            <w:tcW w:w="3827" w:type="dxa"/>
          </w:tcPr>
          <w:p w:rsidR="004730FB" w:rsidRPr="00FE3C8A" w:rsidRDefault="004730FB" w:rsidP="004730FB">
            <w:pPr>
              <w:pStyle w:val="n00"/>
              <w:ind w:left="34"/>
              <w:jc w:val="left"/>
              <w:rPr>
                <w:rFonts w:ascii="Verdana" w:hAnsi="Verdana" w:cs="Arial"/>
                <w:b/>
                <w:sz w:val="20"/>
              </w:rPr>
            </w:pPr>
            <w:r w:rsidRPr="00FE3C8A">
              <w:rPr>
                <w:rFonts w:ascii="Verdana" w:hAnsi="Verdana" w:cs="Arial"/>
                <w:b/>
                <w:sz w:val="20"/>
              </w:rPr>
              <w:t>Jak odpočet DPH na vstupu</w:t>
            </w:r>
          </w:p>
        </w:tc>
      </w:tr>
      <w:tr w:rsidR="004730FB" w:rsidRPr="00BD3265" w:rsidTr="004730FB">
        <w:tc>
          <w:tcPr>
            <w:tcW w:w="5103"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Pro ekonomickou činnost – zdaňovanou</w:t>
            </w:r>
          </w:p>
        </w:tc>
        <w:tc>
          <w:tcPr>
            <w:tcW w:w="3827"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Plný nárok na odpočet DPH</w:t>
            </w:r>
          </w:p>
        </w:tc>
      </w:tr>
      <w:tr w:rsidR="004730FB" w:rsidRPr="00BD3265" w:rsidTr="004730FB">
        <w:tc>
          <w:tcPr>
            <w:tcW w:w="5103"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Pro činnost – není předmětem daně</w:t>
            </w:r>
          </w:p>
        </w:tc>
        <w:tc>
          <w:tcPr>
            <w:tcW w:w="3827"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Není nárok na odpočet DPH</w:t>
            </w:r>
          </w:p>
        </w:tc>
      </w:tr>
      <w:tr w:rsidR="004730FB" w:rsidRPr="00BD3265" w:rsidTr="004730FB">
        <w:tc>
          <w:tcPr>
            <w:tcW w:w="5103"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Pro ekonomickou činnost – osvobozenou</w:t>
            </w:r>
          </w:p>
        </w:tc>
        <w:tc>
          <w:tcPr>
            <w:tcW w:w="3827"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Není nárok na odpočet DPH</w:t>
            </w:r>
          </w:p>
        </w:tc>
      </w:tr>
      <w:tr w:rsidR="004730FB" w:rsidRPr="00BD3265" w:rsidTr="004730FB">
        <w:tc>
          <w:tcPr>
            <w:tcW w:w="5103"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Pro EČ zdaňovanou a zároveň EČ osvobozenou</w:t>
            </w:r>
          </w:p>
        </w:tc>
        <w:tc>
          <w:tcPr>
            <w:tcW w:w="3827"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Nárok na odpočet DPH koeficientem</w:t>
            </w:r>
          </w:p>
        </w:tc>
      </w:tr>
      <w:tr w:rsidR="004730FB" w:rsidRPr="00BD3265" w:rsidTr="004730FB">
        <w:tc>
          <w:tcPr>
            <w:tcW w:w="5103"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Pro EČ zdaňovanou a pro činnost, která není předmětem daně</w:t>
            </w:r>
          </w:p>
        </w:tc>
        <w:tc>
          <w:tcPr>
            <w:tcW w:w="3827"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Nárok na odpočet DPH poměrem</w:t>
            </w:r>
          </w:p>
        </w:tc>
      </w:tr>
      <w:tr w:rsidR="004730FB" w:rsidRPr="00BD3265" w:rsidTr="004730FB">
        <w:trPr>
          <w:trHeight w:val="697"/>
        </w:trPr>
        <w:tc>
          <w:tcPr>
            <w:tcW w:w="5103"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Pro EČ zdaňovanou, osvobozenou a činnost, která není předmětem daně</w:t>
            </w:r>
          </w:p>
        </w:tc>
        <w:tc>
          <w:tcPr>
            <w:tcW w:w="3827" w:type="dxa"/>
          </w:tcPr>
          <w:p w:rsidR="004730FB" w:rsidRPr="00FE3C8A" w:rsidRDefault="004730FB" w:rsidP="004730FB">
            <w:pPr>
              <w:pStyle w:val="n00"/>
              <w:ind w:left="34"/>
              <w:jc w:val="left"/>
              <w:rPr>
                <w:rFonts w:ascii="Verdana" w:hAnsi="Verdana" w:cs="Arial"/>
                <w:sz w:val="20"/>
              </w:rPr>
            </w:pPr>
            <w:r w:rsidRPr="00FE3C8A">
              <w:rPr>
                <w:rFonts w:ascii="Verdana" w:hAnsi="Verdana" w:cs="Arial"/>
                <w:sz w:val="20"/>
              </w:rPr>
              <w:t>Prvotně poměrem, následně koeficientem</w:t>
            </w:r>
          </w:p>
        </w:tc>
      </w:tr>
    </w:tbl>
    <w:p w:rsidR="004730FB" w:rsidRDefault="004730FB" w:rsidP="004730FB">
      <w:pPr>
        <w:pStyle w:val="n00"/>
        <w:rPr>
          <w:rFonts w:ascii="Verdana" w:hAnsi="Verdana"/>
          <w:sz w:val="20"/>
        </w:rPr>
      </w:pPr>
    </w:p>
    <w:p w:rsidR="004730FB" w:rsidRDefault="004730FB" w:rsidP="004730FB">
      <w:pPr>
        <w:pStyle w:val="n00"/>
        <w:rPr>
          <w:rFonts w:ascii="Verdana" w:hAnsi="Verdana"/>
          <w:sz w:val="20"/>
        </w:rPr>
      </w:pPr>
      <w:r>
        <w:rPr>
          <w:rFonts w:ascii="Verdana" w:hAnsi="Verdana"/>
          <w:sz w:val="20"/>
        </w:rPr>
        <w:t>Rozborem jsme dospěli k názoru, že je potřeba rozpočtovou položku posílit o 2,42 mil. Kč a to proti zůstatku na běžných účtech. Rozpočtová položka odráží platby DPH, které jsou, dle vyhlášky o rozpočtové skladbě, zahrnuty již v rozpočtu příjmů i výdajů na rozpočtové skladbě, kterého se daný obrat týká bez ohledu, zda si hodnotu DPH můžeme či nemůžeme uplatit, proto je předložena změna proti zůstatku na BÚ.</w:t>
      </w:r>
    </w:p>
    <w:p w:rsidR="004730FB" w:rsidRDefault="004730FB" w:rsidP="004730FB">
      <w:pPr>
        <w:autoSpaceDE w:val="0"/>
        <w:autoSpaceDN w:val="0"/>
        <w:adjustRightInd w:val="0"/>
        <w:spacing w:before="120" w:after="120"/>
        <w:jc w:val="both"/>
        <w:rPr>
          <w:rFonts w:ascii="Verdana" w:hAnsi="Verdana"/>
          <w:sz w:val="20"/>
        </w:rPr>
      </w:pPr>
      <w:r>
        <w:rPr>
          <w:rFonts w:ascii="Verdana" w:hAnsi="Verdana"/>
          <w:sz w:val="20"/>
          <w:szCs w:val="20"/>
        </w:rPr>
        <w:t>Rozpočtová skladba:</w:t>
      </w:r>
    </w:p>
    <w:tbl>
      <w:tblPr>
        <w:tblW w:w="9791" w:type="dxa"/>
        <w:tblInd w:w="70" w:type="dxa"/>
        <w:tblCellMar>
          <w:left w:w="70" w:type="dxa"/>
          <w:right w:w="70" w:type="dxa"/>
        </w:tblCellMar>
        <w:tblLook w:val="04A0" w:firstRow="1" w:lastRow="0" w:firstColumn="1" w:lastColumn="0" w:noHBand="0" w:noVBand="1"/>
      </w:tblPr>
      <w:tblGrid>
        <w:gridCol w:w="686"/>
        <w:gridCol w:w="685"/>
        <w:gridCol w:w="685"/>
        <w:gridCol w:w="576"/>
        <w:gridCol w:w="1904"/>
        <w:gridCol w:w="1287"/>
        <w:gridCol w:w="1356"/>
        <w:gridCol w:w="1256"/>
        <w:gridCol w:w="1356"/>
      </w:tblGrid>
      <w:tr w:rsidR="004730FB" w:rsidTr="004730FB">
        <w:trPr>
          <w:trHeight w:val="276"/>
        </w:trPr>
        <w:tc>
          <w:tcPr>
            <w:tcW w:w="68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proofErr w:type="spellStart"/>
            <w:r w:rsidRPr="003F5A98">
              <w:rPr>
                <w:rFonts w:ascii="Verdana" w:hAnsi="Verdana"/>
                <w:b/>
                <w:bCs/>
                <w:color w:val="000000"/>
                <w:sz w:val="16"/>
                <w:szCs w:val="16"/>
              </w:rPr>
              <w:t>OdPa</w:t>
            </w:r>
            <w:proofErr w:type="spellEnd"/>
            <w:r w:rsidRPr="003F5A98">
              <w:rPr>
                <w:rFonts w:ascii="Verdana" w:hAnsi="Verdana"/>
                <w:b/>
                <w:bCs/>
                <w:color w:val="000000"/>
                <w:sz w:val="16"/>
                <w:szCs w:val="16"/>
              </w:rPr>
              <w:t xml:space="preserve"> </w:t>
            </w:r>
          </w:p>
        </w:tc>
        <w:tc>
          <w:tcPr>
            <w:tcW w:w="685" w:type="dxa"/>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proofErr w:type="spellStart"/>
            <w:r w:rsidRPr="003F5A98">
              <w:rPr>
                <w:rFonts w:ascii="Verdana" w:hAnsi="Verdana"/>
                <w:b/>
                <w:bCs/>
                <w:color w:val="000000"/>
                <w:sz w:val="16"/>
                <w:szCs w:val="16"/>
              </w:rPr>
              <w:t>SpPo</w:t>
            </w:r>
            <w:proofErr w:type="spellEnd"/>
            <w:r w:rsidRPr="003F5A98">
              <w:rPr>
                <w:rFonts w:ascii="Verdana" w:hAnsi="Verdana"/>
                <w:b/>
                <w:bCs/>
                <w:color w:val="000000"/>
                <w:sz w:val="16"/>
                <w:szCs w:val="16"/>
              </w:rPr>
              <w:t xml:space="preserve"> </w:t>
            </w:r>
          </w:p>
        </w:tc>
        <w:tc>
          <w:tcPr>
            <w:tcW w:w="685" w:type="dxa"/>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proofErr w:type="spellStart"/>
            <w:r w:rsidRPr="003F5A98">
              <w:rPr>
                <w:rFonts w:ascii="Verdana" w:hAnsi="Verdana"/>
                <w:b/>
                <w:bCs/>
                <w:color w:val="000000"/>
                <w:sz w:val="16"/>
                <w:szCs w:val="16"/>
              </w:rPr>
              <w:t>OrJ</w:t>
            </w:r>
            <w:proofErr w:type="spellEnd"/>
            <w:r w:rsidRPr="003F5A98">
              <w:rPr>
                <w:rFonts w:ascii="Verdana" w:hAnsi="Verdana"/>
                <w:b/>
                <w:bCs/>
                <w:color w:val="000000"/>
                <w:sz w:val="16"/>
                <w:szCs w:val="16"/>
              </w:rPr>
              <w:t xml:space="preserve">  </w:t>
            </w:r>
          </w:p>
        </w:tc>
        <w:tc>
          <w:tcPr>
            <w:tcW w:w="576" w:type="dxa"/>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kap</w:t>
            </w:r>
          </w:p>
        </w:tc>
        <w:tc>
          <w:tcPr>
            <w:tcW w:w="1904" w:type="dxa"/>
            <w:tcBorders>
              <w:top w:val="single" w:sz="4" w:space="0" w:color="auto"/>
              <w:left w:val="nil"/>
              <w:bottom w:val="single" w:sz="4" w:space="0" w:color="auto"/>
              <w:right w:val="single" w:sz="4" w:space="0" w:color="auto"/>
            </w:tcBorders>
            <w:shd w:val="clear" w:color="000000" w:fill="EEECE1"/>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text</w:t>
            </w:r>
          </w:p>
        </w:tc>
        <w:tc>
          <w:tcPr>
            <w:tcW w:w="1287" w:type="dxa"/>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SR</w:t>
            </w:r>
          </w:p>
        </w:tc>
        <w:tc>
          <w:tcPr>
            <w:tcW w:w="1356" w:type="dxa"/>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UR</w:t>
            </w:r>
          </w:p>
        </w:tc>
        <w:tc>
          <w:tcPr>
            <w:tcW w:w="1256" w:type="dxa"/>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úprava</w:t>
            </w:r>
          </w:p>
        </w:tc>
        <w:tc>
          <w:tcPr>
            <w:tcW w:w="1356" w:type="dxa"/>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UR</w:t>
            </w:r>
          </w:p>
        </w:tc>
      </w:tr>
      <w:tr w:rsidR="004730FB" w:rsidTr="004730FB">
        <w:trPr>
          <w:trHeight w:val="288"/>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6399</w:t>
            </w:r>
          </w:p>
        </w:tc>
        <w:tc>
          <w:tcPr>
            <w:tcW w:w="685"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5362</w:t>
            </w:r>
          </w:p>
        </w:tc>
        <w:tc>
          <w:tcPr>
            <w:tcW w:w="685"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2090</w:t>
            </w:r>
          </w:p>
        </w:tc>
        <w:tc>
          <w:tcPr>
            <w:tcW w:w="576"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4</w:t>
            </w:r>
          </w:p>
        </w:tc>
        <w:tc>
          <w:tcPr>
            <w:tcW w:w="1904" w:type="dxa"/>
            <w:tcBorders>
              <w:top w:val="nil"/>
              <w:left w:val="nil"/>
              <w:bottom w:val="single" w:sz="4" w:space="0" w:color="auto"/>
              <w:right w:val="single" w:sz="4" w:space="0" w:color="auto"/>
            </w:tcBorders>
            <w:shd w:val="clear" w:color="auto" w:fill="auto"/>
            <w:vAlign w:val="bottom"/>
            <w:hideMark/>
          </w:tcPr>
          <w:p w:rsidR="004730FB" w:rsidRPr="003F5A98" w:rsidRDefault="004730FB" w:rsidP="004730FB">
            <w:pPr>
              <w:rPr>
                <w:rFonts w:ascii="Verdana" w:hAnsi="Verdana"/>
                <w:color w:val="000000"/>
                <w:sz w:val="16"/>
                <w:szCs w:val="16"/>
              </w:rPr>
            </w:pPr>
            <w:r w:rsidRPr="003F5A98">
              <w:rPr>
                <w:rFonts w:ascii="Verdana" w:hAnsi="Verdana"/>
                <w:color w:val="000000"/>
                <w:sz w:val="16"/>
                <w:szCs w:val="16"/>
              </w:rPr>
              <w:t>Platba DPH</w:t>
            </w:r>
          </w:p>
        </w:tc>
        <w:tc>
          <w:tcPr>
            <w:tcW w:w="1287"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1 500 000,00</w:t>
            </w:r>
          </w:p>
        </w:tc>
        <w:tc>
          <w:tcPr>
            <w:tcW w:w="1356"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1 500 000,00</w:t>
            </w:r>
          </w:p>
        </w:tc>
        <w:tc>
          <w:tcPr>
            <w:tcW w:w="1256" w:type="dxa"/>
            <w:tcBorders>
              <w:top w:val="nil"/>
              <w:left w:val="nil"/>
              <w:bottom w:val="single" w:sz="4" w:space="0" w:color="auto"/>
              <w:right w:val="single" w:sz="4" w:space="0" w:color="auto"/>
            </w:tcBorders>
            <w:shd w:val="clear" w:color="auto" w:fill="auto"/>
            <w:noWrap/>
            <w:vAlign w:val="center"/>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2 420 000,00</w:t>
            </w:r>
          </w:p>
        </w:tc>
        <w:tc>
          <w:tcPr>
            <w:tcW w:w="1356" w:type="dxa"/>
            <w:tcBorders>
              <w:top w:val="nil"/>
              <w:left w:val="nil"/>
              <w:bottom w:val="single" w:sz="4" w:space="0" w:color="auto"/>
              <w:right w:val="single" w:sz="4" w:space="0" w:color="auto"/>
            </w:tcBorders>
            <w:shd w:val="clear" w:color="auto" w:fill="auto"/>
            <w:noWrap/>
            <w:vAlign w:val="center"/>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3 920 000,00</w:t>
            </w:r>
          </w:p>
        </w:tc>
      </w:tr>
      <w:tr w:rsidR="004730FB" w:rsidTr="004730FB">
        <w:trPr>
          <w:trHeight w:val="288"/>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4730FB" w:rsidRPr="003F5A98" w:rsidRDefault="004730FB" w:rsidP="004730FB">
            <w:pPr>
              <w:rPr>
                <w:rFonts w:ascii="Verdana" w:hAnsi="Verdana"/>
                <w:color w:val="000000"/>
                <w:sz w:val="16"/>
                <w:szCs w:val="16"/>
              </w:rPr>
            </w:pPr>
            <w:r w:rsidRPr="003F5A98">
              <w:rPr>
                <w:rFonts w:ascii="Verdana" w:hAnsi="Verdana"/>
                <w:color w:val="000000"/>
                <w:sz w:val="16"/>
                <w:szCs w:val="16"/>
              </w:rPr>
              <w:t> </w:t>
            </w:r>
          </w:p>
        </w:tc>
        <w:tc>
          <w:tcPr>
            <w:tcW w:w="685"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8115</w:t>
            </w:r>
          </w:p>
        </w:tc>
        <w:tc>
          <w:tcPr>
            <w:tcW w:w="685"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rPr>
                <w:rFonts w:ascii="Verdana" w:hAnsi="Verdana"/>
                <w:color w:val="000000"/>
                <w:sz w:val="16"/>
                <w:szCs w:val="16"/>
              </w:rPr>
            </w:pPr>
            <w:r w:rsidRPr="003F5A98">
              <w:rPr>
                <w:rFonts w:ascii="Verdana" w:hAnsi="Verdana"/>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4730FB" w:rsidRPr="003F5A98" w:rsidRDefault="004730FB" w:rsidP="004730FB">
            <w:pPr>
              <w:rPr>
                <w:rFonts w:ascii="Verdana" w:hAnsi="Verdana"/>
                <w:color w:val="000000"/>
                <w:sz w:val="16"/>
                <w:szCs w:val="16"/>
              </w:rPr>
            </w:pPr>
            <w:r w:rsidRPr="003F5A98">
              <w:rPr>
                <w:rFonts w:ascii="Verdana" w:hAnsi="Verdana"/>
                <w:color w:val="000000"/>
                <w:sz w:val="16"/>
                <w:szCs w:val="16"/>
              </w:rPr>
              <w:t> </w:t>
            </w:r>
          </w:p>
        </w:tc>
        <w:tc>
          <w:tcPr>
            <w:tcW w:w="1904" w:type="dxa"/>
            <w:tcBorders>
              <w:top w:val="nil"/>
              <w:left w:val="nil"/>
              <w:bottom w:val="single" w:sz="4" w:space="0" w:color="auto"/>
              <w:right w:val="single" w:sz="4" w:space="0" w:color="auto"/>
            </w:tcBorders>
            <w:shd w:val="clear" w:color="auto" w:fill="auto"/>
            <w:vAlign w:val="bottom"/>
            <w:hideMark/>
          </w:tcPr>
          <w:p w:rsidR="004730FB" w:rsidRPr="003F5A98" w:rsidRDefault="004730FB" w:rsidP="004730FB">
            <w:pPr>
              <w:rPr>
                <w:rFonts w:ascii="Verdana" w:hAnsi="Verdana"/>
                <w:color w:val="000000"/>
                <w:sz w:val="16"/>
                <w:szCs w:val="16"/>
              </w:rPr>
            </w:pPr>
            <w:r w:rsidRPr="003F5A98">
              <w:rPr>
                <w:rFonts w:ascii="Verdana" w:hAnsi="Verdana"/>
                <w:color w:val="000000"/>
                <w:sz w:val="16"/>
                <w:szCs w:val="16"/>
              </w:rPr>
              <w:t>Zapojení zůstatku</w:t>
            </w:r>
          </w:p>
        </w:tc>
        <w:tc>
          <w:tcPr>
            <w:tcW w:w="1287" w:type="dxa"/>
            <w:tcBorders>
              <w:top w:val="nil"/>
              <w:left w:val="nil"/>
              <w:bottom w:val="single" w:sz="4" w:space="0" w:color="auto"/>
              <w:right w:val="single" w:sz="4" w:space="0" w:color="auto"/>
            </w:tcBorders>
            <w:shd w:val="clear" w:color="auto" w:fill="auto"/>
            <w:noWrap/>
            <w:vAlign w:val="center"/>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0,00</w:t>
            </w:r>
          </w:p>
        </w:tc>
        <w:tc>
          <w:tcPr>
            <w:tcW w:w="1356" w:type="dxa"/>
            <w:tcBorders>
              <w:top w:val="nil"/>
              <w:left w:val="nil"/>
              <w:bottom w:val="single" w:sz="4" w:space="0" w:color="auto"/>
              <w:right w:val="single" w:sz="4" w:space="0" w:color="auto"/>
            </w:tcBorders>
            <w:shd w:val="clear" w:color="auto" w:fill="auto"/>
            <w:noWrap/>
            <w:vAlign w:val="center"/>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87 357 286,72</w:t>
            </w:r>
          </w:p>
        </w:tc>
        <w:tc>
          <w:tcPr>
            <w:tcW w:w="1256" w:type="dxa"/>
            <w:tcBorders>
              <w:top w:val="nil"/>
              <w:left w:val="nil"/>
              <w:bottom w:val="single" w:sz="4" w:space="0" w:color="auto"/>
              <w:right w:val="single" w:sz="4" w:space="0" w:color="auto"/>
            </w:tcBorders>
            <w:shd w:val="clear" w:color="auto" w:fill="auto"/>
            <w:noWrap/>
            <w:vAlign w:val="center"/>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2 420 000,00</w:t>
            </w:r>
          </w:p>
        </w:tc>
        <w:tc>
          <w:tcPr>
            <w:tcW w:w="1356" w:type="dxa"/>
            <w:tcBorders>
              <w:top w:val="nil"/>
              <w:left w:val="nil"/>
              <w:bottom w:val="single" w:sz="4" w:space="0" w:color="auto"/>
              <w:right w:val="single" w:sz="4" w:space="0" w:color="auto"/>
            </w:tcBorders>
            <w:shd w:val="clear" w:color="auto" w:fill="auto"/>
            <w:noWrap/>
            <w:vAlign w:val="center"/>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89 777 286,72</w:t>
            </w:r>
          </w:p>
        </w:tc>
      </w:tr>
    </w:tbl>
    <w:p w:rsidR="004730FB" w:rsidRDefault="004730FB" w:rsidP="004730FB">
      <w:pPr>
        <w:rPr>
          <w:rFonts w:ascii="Verdana" w:hAnsi="Verdana"/>
          <w:sz w:val="20"/>
          <w:szCs w:val="20"/>
        </w:rPr>
      </w:pPr>
    </w:p>
    <w:p w:rsidR="004730FB" w:rsidRDefault="004730FB" w:rsidP="004730FB">
      <w:pPr>
        <w:rPr>
          <w:rFonts w:ascii="Verdana" w:hAnsi="Verdana"/>
          <w:sz w:val="20"/>
          <w:szCs w:val="20"/>
        </w:rPr>
      </w:pPr>
    </w:p>
    <w:p w:rsidR="004730FB" w:rsidRPr="005A5C3E" w:rsidRDefault="004730FB" w:rsidP="004730FB">
      <w:pPr>
        <w:jc w:val="both"/>
        <w:rPr>
          <w:rFonts w:ascii="Verdana" w:hAnsi="Verdana"/>
          <w:sz w:val="20"/>
          <w:szCs w:val="20"/>
        </w:rPr>
      </w:pPr>
      <w:r>
        <w:rPr>
          <w:rFonts w:ascii="Verdana" w:hAnsi="Verdana"/>
          <w:b/>
          <w:sz w:val="20"/>
          <w:szCs w:val="20"/>
        </w:rPr>
        <w:t>Ro</w:t>
      </w:r>
      <w:r w:rsidRPr="005A5C3E">
        <w:rPr>
          <w:rFonts w:ascii="Verdana" w:hAnsi="Verdana"/>
          <w:b/>
          <w:sz w:val="20"/>
          <w:szCs w:val="20"/>
        </w:rPr>
        <w:t xml:space="preserve">zpočtové opatření </w:t>
      </w:r>
      <w:r>
        <w:rPr>
          <w:rFonts w:ascii="Verdana" w:hAnsi="Verdana"/>
          <w:b/>
          <w:sz w:val="20"/>
          <w:szCs w:val="20"/>
        </w:rPr>
        <w:t>EKO č.</w:t>
      </w:r>
      <w:r w:rsidRPr="00345AA1">
        <w:rPr>
          <w:rFonts w:ascii="Verdana" w:hAnsi="Verdana"/>
          <w:b/>
          <w:sz w:val="20"/>
          <w:szCs w:val="20"/>
        </w:rPr>
        <w:t xml:space="preserve"> </w:t>
      </w:r>
      <w:r>
        <w:rPr>
          <w:rFonts w:ascii="Verdana" w:hAnsi="Verdana"/>
          <w:b/>
          <w:sz w:val="20"/>
          <w:szCs w:val="20"/>
        </w:rPr>
        <w:t xml:space="preserve">9 </w:t>
      </w:r>
      <w:r w:rsidRPr="005A5C3E">
        <w:rPr>
          <w:rFonts w:ascii="Verdana" w:hAnsi="Verdana"/>
          <w:sz w:val="20"/>
          <w:szCs w:val="20"/>
        </w:rPr>
        <w:t xml:space="preserve"> - </w:t>
      </w:r>
      <w:r>
        <w:rPr>
          <w:rFonts w:ascii="Verdana" w:hAnsi="Verdana"/>
          <w:sz w:val="20"/>
          <w:szCs w:val="20"/>
        </w:rPr>
        <w:t>navýšení</w:t>
      </w:r>
      <w:r w:rsidRPr="005A5C3E">
        <w:rPr>
          <w:rFonts w:ascii="Verdana" w:hAnsi="Verdana"/>
          <w:sz w:val="20"/>
          <w:szCs w:val="20"/>
        </w:rPr>
        <w:t xml:space="preserve"> rozpočtových prostředků (§ 16, odst. 3, písm. </w:t>
      </w:r>
      <w:r>
        <w:rPr>
          <w:rFonts w:ascii="Verdana" w:hAnsi="Verdana"/>
          <w:sz w:val="20"/>
          <w:szCs w:val="20"/>
        </w:rPr>
        <w:t>b</w:t>
      </w:r>
      <w:r w:rsidRPr="005A5C3E">
        <w:rPr>
          <w:rFonts w:ascii="Verdana" w:hAnsi="Verdana"/>
          <w:sz w:val="20"/>
          <w:szCs w:val="20"/>
        </w:rPr>
        <w:t>) zákona č. 250/2000 Sb.)</w:t>
      </w:r>
    </w:p>
    <w:p w:rsidR="004730FB" w:rsidRPr="005A5C3E" w:rsidRDefault="004730FB" w:rsidP="004730FB">
      <w:pPr>
        <w:tabs>
          <w:tab w:val="left" w:pos="6663"/>
        </w:tabs>
        <w:jc w:val="both"/>
        <w:rPr>
          <w:rFonts w:ascii="Verdana" w:hAnsi="Verdana"/>
          <w:sz w:val="20"/>
          <w:szCs w:val="20"/>
        </w:rPr>
      </w:pPr>
    </w:p>
    <w:p w:rsidR="004730FB" w:rsidRPr="00B05CE9" w:rsidRDefault="004730FB" w:rsidP="004730FB">
      <w:pPr>
        <w:outlineLvl w:val="0"/>
        <w:rPr>
          <w:rFonts w:ascii="Verdana" w:hAnsi="Verdana"/>
          <w:b/>
          <w:sz w:val="20"/>
          <w:szCs w:val="20"/>
        </w:rPr>
      </w:pPr>
      <w:r w:rsidRPr="00B05CE9">
        <w:rPr>
          <w:rFonts w:ascii="Verdana" w:hAnsi="Verdana"/>
          <w:b/>
          <w:sz w:val="20"/>
          <w:szCs w:val="20"/>
        </w:rPr>
        <w:t>Částka:  </w:t>
      </w:r>
      <w:r>
        <w:rPr>
          <w:rFonts w:ascii="Verdana" w:hAnsi="Verdana"/>
          <w:b/>
          <w:sz w:val="20"/>
          <w:szCs w:val="20"/>
        </w:rPr>
        <w:t>3 152 381,18</w:t>
      </w:r>
      <w:r w:rsidRPr="00B05CE9">
        <w:rPr>
          <w:rFonts w:ascii="Verdana" w:hAnsi="Verdana"/>
          <w:b/>
          <w:sz w:val="20"/>
          <w:szCs w:val="20"/>
        </w:rPr>
        <w:t xml:space="preserve"> Kč</w:t>
      </w:r>
    </w:p>
    <w:p w:rsidR="004730FB" w:rsidRPr="00B05CE9" w:rsidRDefault="004730FB" w:rsidP="004730FB">
      <w:pPr>
        <w:jc w:val="both"/>
        <w:rPr>
          <w:rFonts w:ascii="Verdana" w:hAnsi="Verdana"/>
          <w:sz w:val="20"/>
          <w:szCs w:val="20"/>
        </w:rPr>
      </w:pPr>
    </w:p>
    <w:p w:rsidR="004730FB" w:rsidRDefault="004730FB" w:rsidP="004730FB">
      <w:pPr>
        <w:jc w:val="both"/>
        <w:rPr>
          <w:rFonts w:ascii="Verdana" w:hAnsi="Verdana"/>
          <w:sz w:val="20"/>
          <w:szCs w:val="20"/>
        </w:rPr>
      </w:pPr>
      <w:r w:rsidRPr="00031D2D">
        <w:rPr>
          <w:rFonts w:ascii="Verdana" w:hAnsi="Verdana"/>
          <w:b/>
          <w:sz w:val="20"/>
          <w:szCs w:val="20"/>
        </w:rPr>
        <w:t>Zdůvodnění</w:t>
      </w:r>
      <w:r w:rsidRPr="00031D2D">
        <w:rPr>
          <w:rFonts w:ascii="Verdana" w:hAnsi="Verdana"/>
          <w:sz w:val="20"/>
          <w:szCs w:val="20"/>
        </w:rPr>
        <w:t>:</w:t>
      </w:r>
      <w:r w:rsidRPr="00031D2D">
        <w:rPr>
          <w:rFonts w:eastAsia="Calibri"/>
        </w:rPr>
        <w:t xml:space="preserve"> </w:t>
      </w:r>
      <w:r w:rsidRPr="00031D2D">
        <w:rPr>
          <w:rFonts w:ascii="Verdana" w:hAnsi="Verdana"/>
          <w:sz w:val="20"/>
          <w:szCs w:val="20"/>
        </w:rPr>
        <w:t>před</w:t>
      </w:r>
      <w:r>
        <w:rPr>
          <w:rFonts w:ascii="Verdana" w:hAnsi="Verdana"/>
          <w:sz w:val="20"/>
          <w:szCs w:val="20"/>
        </w:rPr>
        <w:t>k</w:t>
      </w:r>
      <w:r w:rsidRPr="00031D2D">
        <w:rPr>
          <w:rFonts w:ascii="Verdana" w:hAnsi="Verdana"/>
          <w:sz w:val="20"/>
          <w:szCs w:val="20"/>
        </w:rPr>
        <w:t>l</w:t>
      </w:r>
      <w:r>
        <w:rPr>
          <w:rFonts w:ascii="Verdana" w:hAnsi="Verdana"/>
          <w:sz w:val="20"/>
          <w:szCs w:val="20"/>
        </w:rPr>
        <w:t>ádáme</w:t>
      </w:r>
      <w:r w:rsidRPr="00031D2D">
        <w:rPr>
          <w:rFonts w:ascii="Verdana" w:hAnsi="Verdana"/>
          <w:sz w:val="20"/>
          <w:szCs w:val="20"/>
        </w:rPr>
        <w:t xml:space="preserve"> návrh na </w:t>
      </w:r>
      <w:r>
        <w:rPr>
          <w:rFonts w:ascii="Verdana" w:hAnsi="Verdana"/>
          <w:sz w:val="20"/>
          <w:szCs w:val="20"/>
        </w:rPr>
        <w:t xml:space="preserve">zapojení </w:t>
      </w:r>
      <w:r w:rsidRPr="00031D2D">
        <w:rPr>
          <w:rFonts w:ascii="Verdana" w:hAnsi="Verdana"/>
          <w:sz w:val="20"/>
          <w:szCs w:val="20"/>
        </w:rPr>
        <w:t>zůstatku depozitního účtu cizích prostředků ve výši 3.152.381,18 Kč</w:t>
      </w:r>
      <w:r>
        <w:rPr>
          <w:rFonts w:ascii="Verdana" w:hAnsi="Verdana"/>
          <w:sz w:val="20"/>
          <w:szCs w:val="20"/>
        </w:rPr>
        <w:t xml:space="preserve">. Ve výdajích bude částka zapojena na případné pokrytí výdajů </w:t>
      </w:r>
      <w:r w:rsidRPr="00031D2D">
        <w:rPr>
          <w:rFonts w:ascii="Verdana" w:hAnsi="Verdana"/>
          <w:sz w:val="20"/>
          <w:szCs w:val="20"/>
        </w:rPr>
        <w:t>samostatného oddělení personálního a krizového řízení.</w:t>
      </w:r>
    </w:p>
    <w:tbl>
      <w:tblPr>
        <w:tblW w:w="10315" w:type="dxa"/>
        <w:tblInd w:w="55" w:type="dxa"/>
        <w:tblCellMar>
          <w:left w:w="70" w:type="dxa"/>
          <w:right w:w="70" w:type="dxa"/>
        </w:tblCellMar>
        <w:tblLook w:val="04A0" w:firstRow="1" w:lastRow="0" w:firstColumn="1" w:lastColumn="0" w:noHBand="0" w:noVBand="1"/>
      </w:tblPr>
      <w:tblGrid>
        <w:gridCol w:w="1027"/>
        <w:gridCol w:w="685"/>
        <w:gridCol w:w="685"/>
        <w:gridCol w:w="2154"/>
        <w:gridCol w:w="509"/>
        <w:gridCol w:w="778"/>
        <w:gridCol w:w="509"/>
        <w:gridCol w:w="847"/>
        <w:gridCol w:w="509"/>
        <w:gridCol w:w="747"/>
        <w:gridCol w:w="509"/>
        <w:gridCol w:w="847"/>
        <w:gridCol w:w="509"/>
      </w:tblGrid>
      <w:tr w:rsidR="004730FB" w:rsidTr="004730FB">
        <w:trPr>
          <w:trHeight w:val="276"/>
        </w:trPr>
        <w:tc>
          <w:tcPr>
            <w:tcW w:w="2397" w:type="dxa"/>
            <w:gridSpan w:val="3"/>
            <w:tcBorders>
              <w:top w:val="nil"/>
              <w:left w:val="nil"/>
              <w:bottom w:val="nil"/>
              <w:right w:val="nil"/>
            </w:tcBorders>
            <w:shd w:val="clear" w:color="auto" w:fill="auto"/>
            <w:noWrap/>
            <w:vAlign w:val="center"/>
            <w:hideMark/>
          </w:tcPr>
          <w:p w:rsidR="004730FB" w:rsidRDefault="004730FB" w:rsidP="004730FB">
            <w:pPr>
              <w:rPr>
                <w:color w:val="000000"/>
                <w:sz w:val="20"/>
                <w:szCs w:val="20"/>
              </w:rPr>
            </w:pPr>
          </w:p>
          <w:p w:rsidR="004730FB" w:rsidRDefault="004730FB" w:rsidP="004730FB">
            <w:pPr>
              <w:rPr>
                <w:color w:val="000000"/>
                <w:sz w:val="20"/>
                <w:szCs w:val="20"/>
              </w:rPr>
            </w:pPr>
            <w:r>
              <w:rPr>
                <w:color w:val="000000"/>
                <w:sz w:val="20"/>
                <w:szCs w:val="20"/>
              </w:rPr>
              <w:t xml:space="preserve">Rozpočtová skladba: </w:t>
            </w:r>
          </w:p>
        </w:tc>
        <w:tc>
          <w:tcPr>
            <w:tcW w:w="2663" w:type="dxa"/>
            <w:gridSpan w:val="2"/>
            <w:tcBorders>
              <w:top w:val="nil"/>
              <w:left w:val="nil"/>
              <w:bottom w:val="nil"/>
              <w:right w:val="nil"/>
            </w:tcBorders>
            <w:shd w:val="clear" w:color="auto" w:fill="auto"/>
            <w:noWrap/>
            <w:vAlign w:val="bottom"/>
            <w:hideMark/>
          </w:tcPr>
          <w:p w:rsidR="004730FB" w:rsidRDefault="004730FB" w:rsidP="004730FB">
            <w:pPr>
              <w:rPr>
                <w:color w:val="000000"/>
                <w:sz w:val="20"/>
                <w:szCs w:val="20"/>
              </w:rPr>
            </w:pPr>
          </w:p>
        </w:tc>
        <w:tc>
          <w:tcPr>
            <w:tcW w:w="1287" w:type="dxa"/>
            <w:gridSpan w:val="2"/>
            <w:tcBorders>
              <w:top w:val="nil"/>
              <w:left w:val="nil"/>
              <w:bottom w:val="nil"/>
              <w:right w:val="nil"/>
            </w:tcBorders>
            <w:shd w:val="clear" w:color="auto" w:fill="auto"/>
            <w:noWrap/>
            <w:vAlign w:val="bottom"/>
            <w:hideMark/>
          </w:tcPr>
          <w:p w:rsidR="004730FB" w:rsidRDefault="004730FB" w:rsidP="004730FB">
            <w:pPr>
              <w:rPr>
                <w:color w:val="000000"/>
                <w:sz w:val="20"/>
                <w:szCs w:val="20"/>
              </w:rPr>
            </w:pPr>
          </w:p>
        </w:tc>
        <w:tc>
          <w:tcPr>
            <w:tcW w:w="1356" w:type="dxa"/>
            <w:gridSpan w:val="2"/>
            <w:tcBorders>
              <w:top w:val="nil"/>
              <w:left w:val="nil"/>
              <w:bottom w:val="nil"/>
              <w:right w:val="nil"/>
            </w:tcBorders>
            <w:shd w:val="clear" w:color="auto" w:fill="auto"/>
            <w:noWrap/>
            <w:vAlign w:val="bottom"/>
            <w:hideMark/>
          </w:tcPr>
          <w:p w:rsidR="004730FB" w:rsidRDefault="004730FB" w:rsidP="004730FB">
            <w:pPr>
              <w:rPr>
                <w:color w:val="000000"/>
                <w:sz w:val="20"/>
                <w:szCs w:val="20"/>
              </w:rPr>
            </w:pPr>
          </w:p>
        </w:tc>
        <w:tc>
          <w:tcPr>
            <w:tcW w:w="1256" w:type="dxa"/>
            <w:gridSpan w:val="2"/>
            <w:tcBorders>
              <w:top w:val="nil"/>
              <w:left w:val="nil"/>
              <w:bottom w:val="nil"/>
              <w:right w:val="nil"/>
            </w:tcBorders>
            <w:shd w:val="clear" w:color="auto" w:fill="auto"/>
            <w:noWrap/>
            <w:vAlign w:val="bottom"/>
            <w:hideMark/>
          </w:tcPr>
          <w:p w:rsidR="004730FB" w:rsidRDefault="004730FB" w:rsidP="004730FB">
            <w:pPr>
              <w:rPr>
                <w:color w:val="000000"/>
                <w:sz w:val="20"/>
                <w:szCs w:val="20"/>
              </w:rPr>
            </w:pPr>
          </w:p>
        </w:tc>
        <w:tc>
          <w:tcPr>
            <w:tcW w:w="1356" w:type="dxa"/>
            <w:gridSpan w:val="2"/>
            <w:tcBorders>
              <w:top w:val="nil"/>
              <w:left w:val="nil"/>
              <w:bottom w:val="nil"/>
              <w:right w:val="nil"/>
            </w:tcBorders>
            <w:shd w:val="clear" w:color="auto" w:fill="auto"/>
            <w:noWrap/>
            <w:vAlign w:val="bottom"/>
            <w:hideMark/>
          </w:tcPr>
          <w:p w:rsidR="004730FB" w:rsidRDefault="004730FB" w:rsidP="004730FB">
            <w:pPr>
              <w:rPr>
                <w:color w:val="000000"/>
                <w:sz w:val="20"/>
                <w:szCs w:val="20"/>
              </w:rPr>
            </w:pPr>
          </w:p>
        </w:tc>
      </w:tr>
      <w:tr w:rsidR="004730FB" w:rsidTr="004730FB">
        <w:trPr>
          <w:gridAfter w:val="1"/>
          <w:wAfter w:w="509" w:type="dxa"/>
          <w:trHeight w:val="276"/>
        </w:trPr>
        <w:tc>
          <w:tcPr>
            <w:tcW w:w="1027"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proofErr w:type="spellStart"/>
            <w:r w:rsidRPr="003F5A98">
              <w:rPr>
                <w:rFonts w:ascii="Verdana" w:hAnsi="Verdana"/>
                <w:b/>
                <w:bCs/>
                <w:color w:val="000000"/>
                <w:sz w:val="16"/>
                <w:szCs w:val="16"/>
              </w:rPr>
              <w:t>OdPa</w:t>
            </w:r>
            <w:proofErr w:type="spellEnd"/>
            <w:r w:rsidRPr="003F5A98">
              <w:rPr>
                <w:rFonts w:ascii="Verdana" w:hAnsi="Verdana"/>
                <w:b/>
                <w:bCs/>
                <w:color w:val="000000"/>
                <w:sz w:val="16"/>
                <w:szCs w:val="16"/>
              </w:rPr>
              <w:t xml:space="preserve"> </w:t>
            </w:r>
          </w:p>
        </w:tc>
        <w:tc>
          <w:tcPr>
            <w:tcW w:w="685" w:type="dxa"/>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proofErr w:type="spellStart"/>
            <w:r w:rsidRPr="003F5A98">
              <w:rPr>
                <w:rFonts w:ascii="Verdana" w:hAnsi="Verdana"/>
                <w:b/>
                <w:bCs/>
                <w:color w:val="000000"/>
                <w:sz w:val="16"/>
                <w:szCs w:val="16"/>
              </w:rPr>
              <w:t>SpPo</w:t>
            </w:r>
            <w:proofErr w:type="spellEnd"/>
            <w:r w:rsidRPr="003F5A98">
              <w:rPr>
                <w:rFonts w:ascii="Verdana" w:hAnsi="Verdana"/>
                <w:b/>
                <w:bCs/>
                <w:color w:val="000000"/>
                <w:sz w:val="16"/>
                <w:szCs w:val="16"/>
              </w:rPr>
              <w:t xml:space="preserve"> </w:t>
            </w:r>
          </w:p>
        </w:tc>
        <w:tc>
          <w:tcPr>
            <w:tcW w:w="685" w:type="dxa"/>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proofErr w:type="spellStart"/>
            <w:r w:rsidRPr="003F5A98">
              <w:rPr>
                <w:rFonts w:ascii="Verdana" w:hAnsi="Verdana"/>
                <w:b/>
                <w:bCs/>
                <w:color w:val="000000"/>
                <w:sz w:val="16"/>
                <w:szCs w:val="16"/>
              </w:rPr>
              <w:t>OrJ</w:t>
            </w:r>
            <w:proofErr w:type="spellEnd"/>
            <w:r w:rsidRPr="003F5A98">
              <w:rPr>
                <w:rFonts w:ascii="Verdana" w:hAnsi="Verdana"/>
                <w:b/>
                <w:bCs/>
                <w:color w:val="000000"/>
                <w:sz w:val="16"/>
                <w:szCs w:val="16"/>
              </w:rPr>
              <w:t xml:space="preserve">  </w:t>
            </w:r>
          </w:p>
        </w:tc>
        <w:tc>
          <w:tcPr>
            <w:tcW w:w="2154" w:type="dxa"/>
            <w:tcBorders>
              <w:top w:val="single" w:sz="4" w:space="0" w:color="auto"/>
              <w:left w:val="nil"/>
              <w:bottom w:val="single" w:sz="4" w:space="0" w:color="auto"/>
              <w:right w:val="single" w:sz="4" w:space="0" w:color="auto"/>
            </w:tcBorders>
            <w:shd w:val="clear" w:color="000000" w:fill="EEECE1"/>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text</w:t>
            </w:r>
          </w:p>
        </w:tc>
        <w:tc>
          <w:tcPr>
            <w:tcW w:w="1287"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SR</w:t>
            </w:r>
          </w:p>
        </w:tc>
        <w:tc>
          <w:tcPr>
            <w:tcW w:w="135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UR</w:t>
            </w:r>
          </w:p>
        </w:tc>
        <w:tc>
          <w:tcPr>
            <w:tcW w:w="125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úprava</w:t>
            </w:r>
          </w:p>
        </w:tc>
        <w:tc>
          <w:tcPr>
            <w:tcW w:w="135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4730FB" w:rsidRPr="003F5A98" w:rsidRDefault="004730FB" w:rsidP="004730FB">
            <w:pPr>
              <w:jc w:val="center"/>
              <w:rPr>
                <w:rFonts w:ascii="Verdana" w:hAnsi="Verdana"/>
                <w:b/>
                <w:bCs/>
                <w:color w:val="000000"/>
                <w:sz w:val="16"/>
                <w:szCs w:val="16"/>
              </w:rPr>
            </w:pPr>
            <w:r w:rsidRPr="003F5A98">
              <w:rPr>
                <w:rFonts w:ascii="Verdana" w:hAnsi="Verdana"/>
                <w:b/>
                <w:bCs/>
                <w:color w:val="000000"/>
                <w:sz w:val="16"/>
                <w:szCs w:val="16"/>
              </w:rPr>
              <w:t>UR</w:t>
            </w:r>
          </w:p>
        </w:tc>
      </w:tr>
      <w:tr w:rsidR="004730FB" w:rsidTr="004730FB">
        <w:trPr>
          <w:gridAfter w:val="1"/>
          <w:wAfter w:w="509" w:type="dxa"/>
          <w:trHeight w:val="288"/>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Pr>
                <w:rFonts w:ascii="Verdana" w:hAnsi="Verdana"/>
                <w:color w:val="000000"/>
                <w:sz w:val="16"/>
                <w:szCs w:val="16"/>
              </w:rPr>
              <w:t>6171/5213</w:t>
            </w:r>
          </w:p>
        </w:tc>
        <w:tc>
          <w:tcPr>
            <w:tcW w:w="685"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Pr>
                <w:rFonts w:ascii="Verdana" w:hAnsi="Verdana"/>
                <w:color w:val="000000"/>
                <w:sz w:val="16"/>
                <w:szCs w:val="16"/>
              </w:rPr>
              <w:t>5901</w:t>
            </w:r>
          </w:p>
        </w:tc>
        <w:tc>
          <w:tcPr>
            <w:tcW w:w="685"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Pr>
                <w:rFonts w:ascii="Verdana" w:hAnsi="Verdana"/>
                <w:color w:val="000000"/>
                <w:sz w:val="16"/>
                <w:szCs w:val="16"/>
              </w:rPr>
              <w:t>2050</w:t>
            </w:r>
          </w:p>
        </w:tc>
        <w:tc>
          <w:tcPr>
            <w:tcW w:w="2154" w:type="dxa"/>
            <w:tcBorders>
              <w:top w:val="nil"/>
              <w:left w:val="nil"/>
              <w:bottom w:val="single" w:sz="4" w:space="0" w:color="auto"/>
              <w:right w:val="single" w:sz="4" w:space="0" w:color="auto"/>
            </w:tcBorders>
            <w:shd w:val="clear" w:color="auto" w:fill="auto"/>
            <w:vAlign w:val="center"/>
            <w:hideMark/>
          </w:tcPr>
          <w:p w:rsidR="004730FB" w:rsidRPr="00F74462" w:rsidRDefault="004730FB" w:rsidP="004730FB">
            <w:pPr>
              <w:rPr>
                <w:color w:val="000000"/>
                <w:sz w:val="18"/>
              </w:rPr>
            </w:pPr>
            <w:r w:rsidRPr="00F74462">
              <w:rPr>
                <w:color w:val="000000"/>
                <w:sz w:val="18"/>
              </w:rPr>
              <w:t xml:space="preserve">Rozpočtová rezerva odd. </w:t>
            </w:r>
            <w:proofErr w:type="gramStart"/>
            <w:r>
              <w:rPr>
                <w:color w:val="000000"/>
                <w:sz w:val="18"/>
              </w:rPr>
              <w:t>p</w:t>
            </w:r>
            <w:r w:rsidRPr="00F74462">
              <w:rPr>
                <w:color w:val="000000"/>
                <w:sz w:val="18"/>
              </w:rPr>
              <w:t>ersonálního</w:t>
            </w:r>
            <w:proofErr w:type="gramEnd"/>
            <w:r w:rsidRPr="00F74462">
              <w:rPr>
                <w:color w:val="000000"/>
                <w:sz w:val="18"/>
              </w:rPr>
              <w:t xml:space="preserve"> a krizového řízení</w:t>
            </w:r>
          </w:p>
        </w:tc>
        <w:tc>
          <w:tcPr>
            <w:tcW w:w="1287" w:type="dxa"/>
            <w:gridSpan w:val="2"/>
            <w:tcBorders>
              <w:top w:val="nil"/>
              <w:left w:val="nil"/>
              <w:bottom w:val="single" w:sz="4" w:space="0" w:color="auto"/>
              <w:right w:val="single" w:sz="4" w:space="0" w:color="auto"/>
            </w:tcBorders>
            <w:shd w:val="clear" w:color="auto" w:fill="auto"/>
            <w:noWrap/>
            <w:vAlign w:val="center"/>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0,00</w:t>
            </w:r>
          </w:p>
        </w:tc>
        <w:tc>
          <w:tcPr>
            <w:tcW w:w="1356" w:type="dxa"/>
            <w:gridSpan w:val="2"/>
            <w:tcBorders>
              <w:top w:val="nil"/>
              <w:left w:val="nil"/>
              <w:bottom w:val="single" w:sz="4" w:space="0" w:color="auto"/>
              <w:right w:val="single" w:sz="4" w:space="0" w:color="auto"/>
            </w:tcBorders>
            <w:shd w:val="clear" w:color="auto" w:fill="auto"/>
            <w:noWrap/>
            <w:vAlign w:val="center"/>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4730FB" w:rsidRPr="00F74462" w:rsidRDefault="004730FB" w:rsidP="004730FB">
            <w:pPr>
              <w:jc w:val="right"/>
              <w:rPr>
                <w:color w:val="000000"/>
                <w:sz w:val="16"/>
              </w:rPr>
            </w:pPr>
            <w:r w:rsidRPr="00F74462">
              <w:rPr>
                <w:rFonts w:ascii="Verdana" w:hAnsi="Verdana"/>
                <w:sz w:val="16"/>
                <w:szCs w:val="20"/>
              </w:rPr>
              <w:t>3.152.381,18</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4730FB" w:rsidRPr="00F74462" w:rsidRDefault="004730FB" w:rsidP="004730FB">
            <w:pPr>
              <w:jc w:val="right"/>
              <w:rPr>
                <w:color w:val="000000"/>
                <w:sz w:val="16"/>
              </w:rPr>
            </w:pPr>
            <w:r w:rsidRPr="00F74462">
              <w:rPr>
                <w:rFonts w:ascii="Verdana" w:hAnsi="Verdana"/>
                <w:sz w:val="16"/>
                <w:szCs w:val="20"/>
              </w:rPr>
              <w:t>3.152.381,18</w:t>
            </w:r>
          </w:p>
        </w:tc>
      </w:tr>
      <w:tr w:rsidR="004730FB" w:rsidTr="004730FB">
        <w:trPr>
          <w:gridAfter w:val="1"/>
          <w:wAfter w:w="509" w:type="dxa"/>
          <w:trHeight w:val="288"/>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4730FB" w:rsidRPr="003F5A98" w:rsidRDefault="004730FB" w:rsidP="004730FB">
            <w:pPr>
              <w:rPr>
                <w:rFonts w:ascii="Verdana" w:hAnsi="Verdana"/>
                <w:color w:val="000000"/>
                <w:sz w:val="16"/>
                <w:szCs w:val="16"/>
              </w:rPr>
            </w:pPr>
            <w:r w:rsidRPr="003F5A98">
              <w:rPr>
                <w:rFonts w:ascii="Verdana" w:hAnsi="Verdana"/>
                <w:color w:val="000000"/>
                <w:sz w:val="16"/>
                <w:szCs w:val="16"/>
              </w:rPr>
              <w:t> </w:t>
            </w:r>
            <w:r>
              <w:rPr>
                <w:rFonts w:ascii="Verdana" w:hAnsi="Verdana"/>
                <w:color w:val="000000"/>
                <w:sz w:val="16"/>
                <w:szCs w:val="16"/>
              </w:rPr>
              <w:t>6330</w:t>
            </w:r>
          </w:p>
        </w:tc>
        <w:tc>
          <w:tcPr>
            <w:tcW w:w="685"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jc w:val="right"/>
              <w:rPr>
                <w:rFonts w:ascii="Verdana" w:hAnsi="Verdana"/>
                <w:color w:val="000000"/>
                <w:sz w:val="16"/>
                <w:szCs w:val="16"/>
              </w:rPr>
            </w:pPr>
            <w:r>
              <w:rPr>
                <w:rFonts w:ascii="Verdana" w:hAnsi="Verdana"/>
                <w:color w:val="000000"/>
                <w:sz w:val="16"/>
                <w:szCs w:val="16"/>
              </w:rPr>
              <w:t>4132</w:t>
            </w:r>
          </w:p>
        </w:tc>
        <w:tc>
          <w:tcPr>
            <w:tcW w:w="685" w:type="dxa"/>
            <w:tcBorders>
              <w:top w:val="nil"/>
              <w:left w:val="nil"/>
              <w:bottom w:val="single" w:sz="4" w:space="0" w:color="auto"/>
              <w:right w:val="single" w:sz="4" w:space="0" w:color="auto"/>
            </w:tcBorders>
            <w:shd w:val="clear" w:color="auto" w:fill="auto"/>
            <w:noWrap/>
            <w:vAlign w:val="bottom"/>
            <w:hideMark/>
          </w:tcPr>
          <w:p w:rsidR="004730FB" w:rsidRPr="003F5A98" w:rsidRDefault="004730FB" w:rsidP="004730FB">
            <w:pPr>
              <w:rPr>
                <w:rFonts w:ascii="Verdana" w:hAnsi="Verdana"/>
                <w:color w:val="000000"/>
                <w:sz w:val="16"/>
                <w:szCs w:val="16"/>
              </w:rPr>
            </w:pPr>
            <w:r w:rsidRPr="003F5A98">
              <w:rPr>
                <w:rFonts w:ascii="Verdana" w:hAnsi="Verdana"/>
                <w:color w:val="000000"/>
                <w:sz w:val="16"/>
                <w:szCs w:val="16"/>
              </w:rPr>
              <w:t> </w:t>
            </w:r>
            <w:r>
              <w:rPr>
                <w:rFonts w:ascii="Verdana" w:hAnsi="Verdana"/>
                <w:color w:val="000000"/>
                <w:sz w:val="16"/>
                <w:szCs w:val="16"/>
              </w:rPr>
              <w:t>2000</w:t>
            </w:r>
          </w:p>
        </w:tc>
        <w:tc>
          <w:tcPr>
            <w:tcW w:w="2154" w:type="dxa"/>
            <w:tcBorders>
              <w:top w:val="nil"/>
              <w:left w:val="nil"/>
              <w:bottom w:val="single" w:sz="4" w:space="0" w:color="auto"/>
              <w:right w:val="single" w:sz="4" w:space="0" w:color="auto"/>
            </w:tcBorders>
            <w:shd w:val="clear" w:color="auto" w:fill="auto"/>
            <w:vAlign w:val="bottom"/>
            <w:hideMark/>
          </w:tcPr>
          <w:p w:rsidR="004730FB" w:rsidRPr="003F5A98" w:rsidRDefault="004730FB" w:rsidP="004730FB">
            <w:pPr>
              <w:rPr>
                <w:rFonts w:ascii="Verdana" w:hAnsi="Verdana"/>
                <w:color w:val="000000"/>
                <w:sz w:val="16"/>
                <w:szCs w:val="16"/>
              </w:rPr>
            </w:pPr>
            <w:r w:rsidRPr="00F74462">
              <w:rPr>
                <w:rFonts w:ascii="Verdana" w:hAnsi="Verdana"/>
                <w:color w:val="000000"/>
                <w:sz w:val="16"/>
                <w:szCs w:val="16"/>
              </w:rPr>
              <w:t>Převod z depozitního účtu</w:t>
            </w:r>
          </w:p>
        </w:tc>
        <w:tc>
          <w:tcPr>
            <w:tcW w:w="1287" w:type="dxa"/>
            <w:gridSpan w:val="2"/>
            <w:tcBorders>
              <w:top w:val="nil"/>
              <w:left w:val="nil"/>
              <w:bottom w:val="single" w:sz="4" w:space="0" w:color="auto"/>
              <w:right w:val="single" w:sz="4" w:space="0" w:color="auto"/>
            </w:tcBorders>
            <w:shd w:val="clear" w:color="auto" w:fill="auto"/>
            <w:noWrap/>
            <w:vAlign w:val="center"/>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0,00</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4730FB" w:rsidRPr="003F5A98" w:rsidRDefault="004730FB" w:rsidP="004730FB">
            <w:pPr>
              <w:jc w:val="right"/>
              <w:rPr>
                <w:rFonts w:ascii="Verdana" w:hAnsi="Verdana"/>
                <w:color w:val="000000"/>
                <w:sz w:val="16"/>
                <w:szCs w:val="16"/>
              </w:rPr>
            </w:pPr>
            <w:r w:rsidRPr="003F5A98">
              <w:rPr>
                <w:rFonts w:ascii="Verdana" w:hAnsi="Verdana"/>
                <w:color w:val="000000"/>
                <w:sz w:val="16"/>
                <w:szCs w:val="16"/>
              </w:rPr>
              <w:t>0,00</w:t>
            </w:r>
          </w:p>
        </w:tc>
        <w:tc>
          <w:tcPr>
            <w:tcW w:w="1256" w:type="dxa"/>
            <w:gridSpan w:val="2"/>
            <w:tcBorders>
              <w:top w:val="nil"/>
              <w:left w:val="nil"/>
              <w:bottom w:val="single" w:sz="4" w:space="0" w:color="auto"/>
              <w:right w:val="single" w:sz="4" w:space="0" w:color="auto"/>
            </w:tcBorders>
            <w:shd w:val="clear" w:color="auto" w:fill="auto"/>
            <w:noWrap/>
            <w:vAlign w:val="bottom"/>
            <w:hideMark/>
          </w:tcPr>
          <w:p w:rsidR="004730FB" w:rsidRPr="00F74462" w:rsidRDefault="004730FB" w:rsidP="004730FB">
            <w:pPr>
              <w:jc w:val="right"/>
              <w:rPr>
                <w:color w:val="000000"/>
                <w:sz w:val="16"/>
              </w:rPr>
            </w:pPr>
            <w:r w:rsidRPr="00F74462">
              <w:rPr>
                <w:rFonts w:ascii="Verdana" w:hAnsi="Verdana"/>
                <w:sz w:val="16"/>
                <w:szCs w:val="20"/>
              </w:rPr>
              <w:t>3.152.381,18</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4730FB" w:rsidRPr="00F74462" w:rsidRDefault="004730FB" w:rsidP="004730FB">
            <w:pPr>
              <w:jc w:val="right"/>
              <w:rPr>
                <w:color w:val="000000"/>
                <w:sz w:val="16"/>
              </w:rPr>
            </w:pPr>
            <w:r w:rsidRPr="00F74462">
              <w:rPr>
                <w:rFonts w:ascii="Verdana" w:hAnsi="Verdana"/>
                <w:sz w:val="16"/>
                <w:szCs w:val="20"/>
              </w:rPr>
              <w:t>3.152.381,18</w:t>
            </w:r>
          </w:p>
        </w:tc>
      </w:tr>
    </w:tbl>
    <w:p w:rsidR="004730FB" w:rsidRDefault="004730FB" w:rsidP="004730FB">
      <w:pPr>
        <w:rPr>
          <w:rFonts w:ascii="Verdana" w:hAnsi="Verdana"/>
          <w:sz w:val="20"/>
          <w:szCs w:val="20"/>
        </w:rPr>
      </w:pPr>
    </w:p>
    <w:p w:rsidR="004730FB" w:rsidRPr="002B723C" w:rsidRDefault="004730FB" w:rsidP="004730FB">
      <w:pPr>
        <w:rPr>
          <w:rFonts w:ascii="Verdana" w:hAnsi="Verdana"/>
          <w:b/>
          <w:sz w:val="20"/>
          <w:szCs w:val="20"/>
        </w:rPr>
      </w:pPr>
      <w:r w:rsidRPr="002B723C">
        <w:rPr>
          <w:rFonts w:ascii="Verdana" w:hAnsi="Verdana"/>
          <w:b/>
          <w:sz w:val="20"/>
          <w:szCs w:val="20"/>
        </w:rPr>
        <w:t>Důvodová zpráva k bodu II:</w:t>
      </w:r>
    </w:p>
    <w:p w:rsidR="004730FB" w:rsidRPr="00863D38" w:rsidRDefault="004730FB" w:rsidP="004730FB">
      <w:pPr>
        <w:rPr>
          <w:rFonts w:ascii="Verdana" w:hAnsi="Verdana"/>
          <w:sz w:val="20"/>
          <w:szCs w:val="20"/>
        </w:rPr>
      </w:pPr>
    </w:p>
    <w:p w:rsidR="004730FB" w:rsidRDefault="004730FB" w:rsidP="004730FB">
      <w:pPr>
        <w:jc w:val="both"/>
        <w:rPr>
          <w:rFonts w:ascii="Verdana" w:hAnsi="Verdana"/>
          <w:sz w:val="20"/>
          <w:szCs w:val="20"/>
        </w:rPr>
      </w:pPr>
      <w:r w:rsidRPr="00863D38">
        <w:rPr>
          <w:rFonts w:ascii="Verdana" w:hAnsi="Verdana"/>
          <w:sz w:val="20"/>
          <w:szCs w:val="20"/>
        </w:rPr>
        <w:t>Město Kutná Hora má s ČS a.s. uzavřenou smlouvu o kontokorentním úvěru</w:t>
      </w:r>
      <w:r>
        <w:rPr>
          <w:rFonts w:ascii="Verdana" w:hAnsi="Verdana"/>
          <w:sz w:val="20"/>
          <w:szCs w:val="20"/>
        </w:rPr>
        <w:t xml:space="preserve"> č. 0444212389/19/LCD a dodatek č. 1 na částku</w:t>
      </w:r>
      <w:r w:rsidRPr="00863D38">
        <w:rPr>
          <w:rFonts w:ascii="Verdana" w:hAnsi="Verdana"/>
          <w:sz w:val="20"/>
          <w:szCs w:val="20"/>
        </w:rPr>
        <w:t xml:space="preserve"> ve výši </w:t>
      </w:r>
      <w:r>
        <w:rPr>
          <w:rFonts w:ascii="Verdana" w:hAnsi="Verdana"/>
          <w:sz w:val="20"/>
          <w:szCs w:val="20"/>
        </w:rPr>
        <w:t xml:space="preserve">15 mil. Kč. </w:t>
      </w:r>
      <w:r w:rsidRPr="00863D38">
        <w:rPr>
          <w:rFonts w:ascii="Verdana" w:hAnsi="Verdana"/>
          <w:sz w:val="20"/>
          <w:szCs w:val="20"/>
        </w:rPr>
        <w:t>Kontokorent je používán pro vyrovnání</w:t>
      </w:r>
      <w:r>
        <w:rPr>
          <w:rFonts w:ascii="Verdana" w:hAnsi="Verdana"/>
          <w:sz w:val="20"/>
          <w:szCs w:val="20"/>
        </w:rPr>
        <w:t xml:space="preserve"> případné</w:t>
      </w:r>
      <w:r w:rsidRPr="00863D38">
        <w:rPr>
          <w:rFonts w:ascii="Verdana" w:hAnsi="Verdana"/>
          <w:sz w:val="20"/>
          <w:szCs w:val="20"/>
        </w:rPr>
        <w:t xml:space="preserve"> nepravidelnosti finančních toků při financování provozu města. Kontokorent </w:t>
      </w:r>
      <w:r>
        <w:rPr>
          <w:rFonts w:ascii="Verdana" w:hAnsi="Verdana"/>
          <w:sz w:val="20"/>
          <w:szCs w:val="20"/>
        </w:rPr>
        <w:t>neby</w:t>
      </w:r>
      <w:r w:rsidRPr="00863D38">
        <w:rPr>
          <w:rFonts w:ascii="Verdana" w:hAnsi="Verdana"/>
          <w:sz w:val="20"/>
          <w:szCs w:val="20"/>
        </w:rPr>
        <w:t>l</w:t>
      </w:r>
      <w:r>
        <w:rPr>
          <w:rFonts w:ascii="Verdana" w:hAnsi="Verdana"/>
          <w:sz w:val="20"/>
          <w:szCs w:val="20"/>
        </w:rPr>
        <w:t xml:space="preserve"> v loňském ani </w:t>
      </w:r>
      <w:r w:rsidRPr="00863D38">
        <w:rPr>
          <w:rFonts w:ascii="Verdana" w:hAnsi="Verdana"/>
          <w:sz w:val="20"/>
          <w:szCs w:val="20"/>
        </w:rPr>
        <w:t xml:space="preserve">letošním roce </w:t>
      </w:r>
      <w:r>
        <w:rPr>
          <w:rFonts w:ascii="Verdana" w:hAnsi="Verdana"/>
          <w:sz w:val="20"/>
          <w:szCs w:val="20"/>
        </w:rPr>
        <w:t>dosud čerpán, lze však očekávat, že v případě potřeby začne být využíván. Město neplatí</w:t>
      </w:r>
      <w:r w:rsidRPr="00863D38">
        <w:rPr>
          <w:rFonts w:ascii="Verdana" w:hAnsi="Verdana"/>
          <w:sz w:val="20"/>
          <w:szCs w:val="20"/>
        </w:rPr>
        <w:t xml:space="preserve"> závazkovou provizi</w:t>
      </w:r>
      <w:r>
        <w:rPr>
          <w:rFonts w:ascii="Verdana" w:hAnsi="Verdana"/>
          <w:sz w:val="20"/>
          <w:szCs w:val="20"/>
        </w:rPr>
        <w:t xml:space="preserve"> z rezervovaných </w:t>
      </w:r>
      <w:r>
        <w:rPr>
          <w:rFonts w:ascii="Verdana" w:hAnsi="Verdana"/>
          <w:sz w:val="20"/>
          <w:szCs w:val="20"/>
        </w:rPr>
        <w:lastRenderedPageBreak/>
        <w:t>zdrojů</w:t>
      </w:r>
      <w:r w:rsidRPr="00863D38">
        <w:rPr>
          <w:rFonts w:ascii="Verdana" w:hAnsi="Verdana"/>
          <w:sz w:val="20"/>
          <w:szCs w:val="20"/>
        </w:rPr>
        <w:t xml:space="preserve">. </w:t>
      </w:r>
      <w:r>
        <w:rPr>
          <w:rFonts w:ascii="Verdana" w:hAnsi="Verdana"/>
          <w:sz w:val="20"/>
          <w:szCs w:val="20"/>
        </w:rPr>
        <w:t xml:space="preserve">Předpokládáme, že </w:t>
      </w:r>
      <w:r w:rsidRPr="00863D38">
        <w:rPr>
          <w:rFonts w:ascii="Verdana" w:hAnsi="Verdana"/>
          <w:sz w:val="20"/>
          <w:szCs w:val="20"/>
        </w:rPr>
        <w:t>úroková sazba bude obdobně</w:t>
      </w:r>
      <w:r>
        <w:rPr>
          <w:rFonts w:ascii="Verdana" w:hAnsi="Verdana"/>
          <w:sz w:val="20"/>
          <w:szCs w:val="20"/>
        </w:rPr>
        <w:t xml:space="preserve"> </w:t>
      </w:r>
      <w:r w:rsidRPr="00863D38">
        <w:rPr>
          <w:rFonts w:ascii="Verdana" w:hAnsi="Verdana"/>
          <w:sz w:val="20"/>
          <w:szCs w:val="20"/>
        </w:rPr>
        <w:t>příznivá,</w:t>
      </w:r>
      <w:r>
        <w:rPr>
          <w:rFonts w:ascii="Verdana" w:hAnsi="Verdana"/>
          <w:sz w:val="20"/>
          <w:szCs w:val="20"/>
        </w:rPr>
        <w:t xml:space="preserve"> </w:t>
      </w:r>
      <w:r w:rsidRPr="00863D38">
        <w:rPr>
          <w:rFonts w:ascii="Verdana" w:hAnsi="Verdana"/>
          <w:sz w:val="20"/>
          <w:szCs w:val="20"/>
        </w:rPr>
        <w:t>jako ve</w:t>
      </w:r>
      <w:r>
        <w:rPr>
          <w:rFonts w:ascii="Verdana" w:hAnsi="Verdana"/>
          <w:sz w:val="20"/>
          <w:szCs w:val="20"/>
        </w:rPr>
        <w:t xml:space="preserve"> </w:t>
      </w:r>
      <w:r w:rsidRPr="00863D38">
        <w:rPr>
          <w:rFonts w:ascii="Verdana" w:hAnsi="Verdana"/>
          <w:sz w:val="20"/>
          <w:szCs w:val="20"/>
        </w:rPr>
        <w:t>smlouvě stávající</w:t>
      </w:r>
      <w:r>
        <w:rPr>
          <w:rFonts w:ascii="Verdana" w:hAnsi="Verdana"/>
          <w:sz w:val="20"/>
          <w:szCs w:val="20"/>
        </w:rPr>
        <w:t xml:space="preserve"> </w:t>
      </w:r>
      <w:r w:rsidRPr="00863D38">
        <w:rPr>
          <w:rFonts w:ascii="Verdana" w:hAnsi="Verdana"/>
          <w:sz w:val="20"/>
          <w:szCs w:val="20"/>
        </w:rPr>
        <w:t>/1M PRIBOR+0,</w:t>
      </w:r>
      <w:r>
        <w:rPr>
          <w:rFonts w:ascii="Verdana" w:hAnsi="Verdana"/>
          <w:sz w:val="20"/>
          <w:szCs w:val="20"/>
        </w:rPr>
        <w:t>35/. Stávající úvěr je splatný 29. 6. 2021.</w:t>
      </w:r>
    </w:p>
    <w:p w:rsidR="004730FB" w:rsidRDefault="004730FB" w:rsidP="004730FB">
      <w:pPr>
        <w:jc w:val="both"/>
        <w:rPr>
          <w:rFonts w:ascii="Verdana" w:hAnsi="Verdana"/>
          <w:sz w:val="20"/>
          <w:szCs w:val="20"/>
        </w:rPr>
      </w:pPr>
    </w:p>
    <w:p w:rsidR="004730FB" w:rsidRDefault="004730FB" w:rsidP="004730FB">
      <w:pPr>
        <w:jc w:val="both"/>
        <w:rPr>
          <w:rFonts w:ascii="Verdana" w:hAnsi="Verdana"/>
          <w:b/>
          <w:sz w:val="20"/>
          <w:szCs w:val="20"/>
        </w:rPr>
      </w:pPr>
    </w:p>
    <w:p w:rsidR="004730FB" w:rsidRPr="00EB3044" w:rsidRDefault="004730FB" w:rsidP="004730FB">
      <w:pPr>
        <w:jc w:val="both"/>
        <w:rPr>
          <w:rFonts w:ascii="Verdana" w:hAnsi="Verdana" w:cstheme="minorBidi"/>
          <w:b/>
          <w:i/>
          <w:sz w:val="20"/>
        </w:rPr>
      </w:pPr>
      <w:r w:rsidRPr="004730FB">
        <w:rPr>
          <w:rFonts w:ascii="Verdana" w:hAnsi="Verdana"/>
          <w:b/>
          <w:sz w:val="20"/>
          <w:szCs w:val="20"/>
        </w:rPr>
        <w:t xml:space="preserve">2/06 </w:t>
      </w:r>
      <w:r w:rsidRPr="004730FB">
        <w:rPr>
          <w:rFonts w:ascii="Verdana" w:hAnsi="Verdana"/>
          <w:b/>
          <w:sz w:val="20"/>
        </w:rPr>
        <w:t>Závěrečný účet Mikroregion  KUTNOHORSKO za rok 2020</w:t>
      </w:r>
    </w:p>
    <w:p w:rsidR="004730FB" w:rsidRPr="005C64CB" w:rsidRDefault="004730FB" w:rsidP="004730FB">
      <w:pPr>
        <w:autoSpaceDE w:val="0"/>
        <w:autoSpaceDN w:val="0"/>
        <w:adjustRightInd w:val="0"/>
        <w:jc w:val="both"/>
        <w:rPr>
          <w:rFonts w:cs="Calibri"/>
        </w:rPr>
      </w:pPr>
      <w:r w:rsidRPr="00E65E44">
        <w:rPr>
          <w:rFonts w:ascii="Verdana" w:hAnsi="Verdana"/>
          <w:sz w:val="20"/>
          <w:szCs w:val="20"/>
        </w:rPr>
        <w:t>Dobrovolný svazek obcí  Mikroregion  KUTNOHORSKO  zpracoval závěrečný účet za rok 20</w:t>
      </w:r>
      <w:r>
        <w:rPr>
          <w:rFonts w:ascii="Verdana" w:hAnsi="Verdana"/>
          <w:sz w:val="20"/>
          <w:szCs w:val="20"/>
        </w:rPr>
        <w:t>20</w:t>
      </w:r>
      <w:r w:rsidRPr="00E65E44">
        <w:rPr>
          <w:rFonts w:ascii="Verdana" w:hAnsi="Verdana"/>
          <w:sz w:val="20"/>
          <w:szCs w:val="20"/>
        </w:rPr>
        <w:t xml:space="preserve"> dle § 17 zákona č. 250/2000 Sb., o rozpočtových pravidlech územních rozpočtů, ve znění pozdějších předpisů. Součástí závěrečného účtu je zpráva auditora o výsledku přezkoumání hospodaření.</w:t>
      </w:r>
      <w:r>
        <w:rPr>
          <w:rFonts w:ascii="Verdana" w:hAnsi="Verdana"/>
          <w:sz w:val="20"/>
          <w:szCs w:val="20"/>
        </w:rPr>
        <w:t xml:space="preserve"> </w:t>
      </w:r>
      <w:r>
        <w:rPr>
          <w:rFonts w:cs="Calibri"/>
        </w:rPr>
        <w:t>Z důvodu zajištění požadavků zákona č. 99/2019 Sb., o přístupnosti internetových stránek a mobilních aplikací, je v tomto dokumentu zveřejněna nepodepsaná zpráva o výsledku přezkoumání hospodaření ve strojově čitelném formátu a zároveň zpráva podepsaná.</w:t>
      </w:r>
      <w:r w:rsidRPr="00E65E44">
        <w:rPr>
          <w:rFonts w:ascii="Verdana" w:hAnsi="Verdana"/>
          <w:sz w:val="20"/>
          <w:szCs w:val="20"/>
        </w:rPr>
        <w:t xml:space="preserve"> </w:t>
      </w:r>
      <w:r w:rsidRPr="00001025">
        <w:rPr>
          <w:rFonts w:ascii="Verdana" w:hAnsi="Verdana"/>
          <w:b/>
          <w:sz w:val="20"/>
          <w:szCs w:val="20"/>
        </w:rPr>
        <w:t>Ze závěru zprávy vyplývá, že při přezkoumání hospodaření za rok 2020 nebyly zjištěny chyby a nedostatky.</w:t>
      </w:r>
    </w:p>
    <w:p w:rsidR="004730FB" w:rsidRPr="00E65E44" w:rsidRDefault="004730FB" w:rsidP="004730FB">
      <w:pPr>
        <w:jc w:val="both"/>
        <w:rPr>
          <w:rFonts w:ascii="Verdana" w:hAnsi="Verdana"/>
          <w:sz w:val="20"/>
          <w:szCs w:val="20"/>
        </w:rPr>
      </w:pPr>
    </w:p>
    <w:p w:rsidR="004730FB" w:rsidRPr="00E65E44" w:rsidRDefault="004730FB" w:rsidP="004730FB">
      <w:pPr>
        <w:jc w:val="both"/>
        <w:rPr>
          <w:rFonts w:ascii="Verdana" w:hAnsi="Verdana"/>
          <w:sz w:val="20"/>
          <w:szCs w:val="20"/>
        </w:rPr>
      </w:pPr>
      <w:r w:rsidRPr="00E65E44">
        <w:rPr>
          <w:rFonts w:ascii="Verdana" w:hAnsi="Verdana"/>
          <w:sz w:val="20"/>
          <w:szCs w:val="20"/>
        </w:rPr>
        <w:t xml:space="preserve">    V souladu s ustanovením § 39 odst.</w:t>
      </w:r>
      <w:r>
        <w:rPr>
          <w:rFonts w:ascii="Verdana" w:hAnsi="Verdana"/>
          <w:sz w:val="20"/>
          <w:szCs w:val="20"/>
        </w:rPr>
        <w:t xml:space="preserve"> 6</w:t>
      </w:r>
      <w:r w:rsidRPr="00E65E44">
        <w:rPr>
          <w:rFonts w:ascii="Verdana" w:hAnsi="Verdana"/>
          <w:sz w:val="20"/>
          <w:szCs w:val="20"/>
        </w:rPr>
        <w:t xml:space="preserve"> výše uvedeného zákona č. 250/2000 Sb. byl návrh závěrečného účtu DSO  Mikroregion  KUTNOHORSKO  před projednáním v orgánu svazku obcí vyvěšen na úředních deskách všech členských obcí svazku po dobu </w:t>
      </w:r>
      <w:r>
        <w:rPr>
          <w:rFonts w:ascii="Verdana" w:hAnsi="Verdana"/>
          <w:sz w:val="20"/>
          <w:szCs w:val="20"/>
        </w:rPr>
        <w:t xml:space="preserve">min. </w:t>
      </w:r>
      <w:r w:rsidRPr="00E65E44">
        <w:rPr>
          <w:rFonts w:ascii="Verdana" w:hAnsi="Verdana"/>
          <w:sz w:val="20"/>
          <w:szCs w:val="20"/>
        </w:rPr>
        <w:t>15 dnů.</w:t>
      </w:r>
    </w:p>
    <w:p w:rsidR="004730FB" w:rsidRPr="00E65E44" w:rsidRDefault="004730FB" w:rsidP="004730FB">
      <w:pPr>
        <w:jc w:val="both"/>
        <w:rPr>
          <w:rFonts w:ascii="Verdana" w:hAnsi="Verdana"/>
          <w:sz w:val="20"/>
          <w:szCs w:val="20"/>
        </w:rPr>
      </w:pPr>
    </w:p>
    <w:p w:rsidR="004730FB" w:rsidRPr="00167DA4" w:rsidRDefault="004730FB" w:rsidP="004730FB">
      <w:pPr>
        <w:jc w:val="both"/>
        <w:rPr>
          <w:rFonts w:ascii="Verdana" w:hAnsi="Verdana"/>
          <w:b/>
          <w:color w:val="FF0000"/>
          <w:sz w:val="20"/>
          <w:szCs w:val="20"/>
        </w:rPr>
      </w:pPr>
      <w:r w:rsidRPr="00E65E44">
        <w:rPr>
          <w:rFonts w:ascii="Verdana" w:hAnsi="Verdana"/>
          <w:sz w:val="20"/>
          <w:szCs w:val="20"/>
        </w:rPr>
        <w:t xml:space="preserve">    </w:t>
      </w:r>
      <w:r w:rsidRPr="005D6FF2">
        <w:rPr>
          <w:rFonts w:ascii="Verdana" w:hAnsi="Verdana"/>
          <w:b/>
          <w:sz w:val="20"/>
          <w:szCs w:val="20"/>
        </w:rPr>
        <w:t>Závěrečný účet rada svazku obcí projednala na svém jednání dne</w:t>
      </w:r>
      <w:r>
        <w:rPr>
          <w:rFonts w:ascii="Verdana" w:hAnsi="Verdana"/>
          <w:b/>
          <w:sz w:val="20"/>
          <w:szCs w:val="20"/>
        </w:rPr>
        <w:t xml:space="preserve"> 1. 6. 2021 </w:t>
      </w:r>
      <w:r w:rsidRPr="005D6FF2">
        <w:rPr>
          <w:rFonts w:ascii="Verdana" w:hAnsi="Verdana"/>
          <w:b/>
          <w:sz w:val="20"/>
          <w:szCs w:val="20"/>
        </w:rPr>
        <w:t xml:space="preserve">a vyjádřila souhlas s celoročním hospodařením svazku </w:t>
      </w:r>
      <w:r>
        <w:rPr>
          <w:rFonts w:ascii="Verdana" w:hAnsi="Verdana"/>
          <w:b/>
          <w:sz w:val="20"/>
          <w:szCs w:val="20"/>
        </w:rPr>
        <w:t xml:space="preserve">obcí </w:t>
      </w:r>
      <w:r w:rsidRPr="005D6FF2">
        <w:rPr>
          <w:rFonts w:ascii="Verdana" w:hAnsi="Verdana"/>
          <w:b/>
          <w:sz w:val="20"/>
          <w:szCs w:val="20"/>
        </w:rPr>
        <w:t>bez výhrad</w:t>
      </w:r>
      <w:r>
        <w:rPr>
          <w:rFonts w:ascii="Verdana" w:hAnsi="Verdana"/>
          <w:b/>
          <w:sz w:val="20"/>
          <w:szCs w:val="20"/>
        </w:rPr>
        <w:t xml:space="preserve"> (usnesení č. </w:t>
      </w:r>
      <w:r w:rsidRPr="00E9299E">
        <w:rPr>
          <w:rFonts w:ascii="Verdana" w:hAnsi="Verdana"/>
          <w:b/>
          <w:sz w:val="20"/>
          <w:szCs w:val="20"/>
        </w:rPr>
        <w:t>1/21).</w:t>
      </w:r>
    </w:p>
    <w:p w:rsidR="004730FB" w:rsidRPr="005D6FF2" w:rsidRDefault="004730FB" w:rsidP="004730FB">
      <w:pPr>
        <w:jc w:val="both"/>
        <w:rPr>
          <w:rFonts w:ascii="Verdana" w:hAnsi="Verdana"/>
          <w:b/>
          <w:sz w:val="20"/>
          <w:szCs w:val="20"/>
        </w:rPr>
      </w:pPr>
    </w:p>
    <w:p w:rsidR="004730FB" w:rsidRPr="00E65E44" w:rsidRDefault="004730FB" w:rsidP="004730FB">
      <w:pPr>
        <w:jc w:val="both"/>
        <w:rPr>
          <w:rFonts w:ascii="Verdana" w:hAnsi="Verdana"/>
          <w:sz w:val="20"/>
          <w:szCs w:val="20"/>
        </w:rPr>
      </w:pPr>
      <w:r w:rsidRPr="00E65E44">
        <w:rPr>
          <w:rFonts w:ascii="Verdana" w:hAnsi="Verdana"/>
          <w:sz w:val="20"/>
          <w:szCs w:val="20"/>
        </w:rPr>
        <w:t xml:space="preserve">Závěrečný účet je zveřejněn na internetových stránkách Městského úřadu Kutná Hora: </w:t>
      </w:r>
    </w:p>
    <w:p w:rsidR="004730FB" w:rsidRDefault="004730FB" w:rsidP="004730FB">
      <w:pPr>
        <w:jc w:val="both"/>
        <w:rPr>
          <w:rFonts w:ascii="Verdana" w:hAnsi="Verdana"/>
          <w:sz w:val="20"/>
          <w:szCs w:val="20"/>
        </w:rPr>
      </w:pPr>
      <w:hyperlink r:id="rId8" w:history="1">
        <w:r w:rsidRPr="0075122D">
          <w:rPr>
            <w:rStyle w:val="Hypertextovodkaz"/>
            <w:rFonts w:ascii="Verdana" w:hAnsi="Verdana"/>
            <w:sz w:val="20"/>
            <w:szCs w:val="20"/>
          </w:rPr>
          <w:t>www.mu.kutnahora.cz</w:t>
        </w:r>
      </w:hyperlink>
      <w:r w:rsidRPr="00E65E44">
        <w:rPr>
          <w:rFonts w:ascii="Verdana" w:hAnsi="Verdana"/>
          <w:sz w:val="20"/>
          <w:szCs w:val="20"/>
        </w:rPr>
        <w:t xml:space="preserve">  - Mikroregion Kutnohorsko - Závěrečný účet 20</w:t>
      </w:r>
      <w:r>
        <w:rPr>
          <w:rFonts w:ascii="Verdana" w:hAnsi="Verdana"/>
          <w:sz w:val="20"/>
          <w:szCs w:val="20"/>
        </w:rPr>
        <w:t>20</w:t>
      </w:r>
      <w:r w:rsidRPr="00E65E44">
        <w:rPr>
          <w:rFonts w:ascii="Verdana" w:hAnsi="Verdana"/>
          <w:sz w:val="20"/>
          <w:szCs w:val="20"/>
        </w:rPr>
        <w:t>.</w:t>
      </w:r>
    </w:p>
    <w:p w:rsidR="004730FB" w:rsidRDefault="004730FB" w:rsidP="004730FB">
      <w:pPr>
        <w:jc w:val="both"/>
        <w:rPr>
          <w:rFonts w:ascii="Verdana" w:hAnsi="Verdana"/>
          <w:b/>
          <w:sz w:val="20"/>
          <w:szCs w:val="20"/>
        </w:rPr>
      </w:pPr>
    </w:p>
    <w:p w:rsidR="004730FB" w:rsidRDefault="004730FB" w:rsidP="00127F90">
      <w:pPr>
        <w:spacing w:line="276" w:lineRule="auto"/>
        <w:jc w:val="both"/>
        <w:rPr>
          <w:rFonts w:ascii="Verdana" w:hAnsi="Verdana"/>
          <w:b/>
          <w:sz w:val="20"/>
          <w:szCs w:val="20"/>
          <w:u w:val="single"/>
        </w:rPr>
      </w:pPr>
    </w:p>
    <w:p w:rsidR="00127F90" w:rsidRDefault="00127F90" w:rsidP="00127F90">
      <w:pPr>
        <w:spacing w:line="276" w:lineRule="auto"/>
        <w:jc w:val="both"/>
        <w:rPr>
          <w:rFonts w:ascii="Verdana" w:hAnsi="Verdana"/>
          <w:b/>
          <w:sz w:val="20"/>
          <w:szCs w:val="20"/>
          <w:u w:val="single"/>
        </w:rPr>
      </w:pPr>
      <w:r w:rsidRPr="00D97494">
        <w:rPr>
          <w:rFonts w:ascii="Verdana" w:hAnsi="Verdana"/>
          <w:b/>
          <w:sz w:val="20"/>
          <w:szCs w:val="20"/>
          <w:u w:val="single"/>
        </w:rPr>
        <w:t>Odbor správy majetku</w:t>
      </w:r>
    </w:p>
    <w:p w:rsidR="00B8779D" w:rsidRDefault="00B8779D" w:rsidP="00B8779D">
      <w:pPr>
        <w:pStyle w:val="Bezmezer"/>
        <w:rPr>
          <w:b/>
          <w:szCs w:val="20"/>
        </w:rPr>
      </w:pPr>
      <w:r w:rsidRPr="00B07305">
        <w:rPr>
          <w:b/>
          <w:szCs w:val="20"/>
        </w:rPr>
        <w:t xml:space="preserve">3/01 </w:t>
      </w:r>
      <w:r>
        <w:rPr>
          <w:b/>
          <w:szCs w:val="20"/>
        </w:rPr>
        <w:t xml:space="preserve"> </w:t>
      </w:r>
      <w:r w:rsidRPr="00096030">
        <w:rPr>
          <w:b/>
          <w:szCs w:val="20"/>
        </w:rPr>
        <w:t xml:space="preserve">Prominutí části nájemného (p. </w:t>
      </w:r>
      <w:r>
        <w:rPr>
          <w:b/>
          <w:szCs w:val="20"/>
        </w:rPr>
        <w:t>Buňka</w:t>
      </w:r>
      <w:r w:rsidRPr="00096030">
        <w:rPr>
          <w:b/>
          <w:szCs w:val="20"/>
        </w:rPr>
        <w:t>)</w:t>
      </w:r>
    </w:p>
    <w:p w:rsidR="00B8779D" w:rsidRPr="007D3D7E" w:rsidRDefault="00B8779D" w:rsidP="00B8779D">
      <w:pPr>
        <w:jc w:val="both"/>
        <w:rPr>
          <w:rFonts w:ascii="Verdana" w:hAnsi="Verdana"/>
          <w:sz w:val="20"/>
          <w:szCs w:val="20"/>
        </w:rPr>
      </w:pPr>
      <w:r w:rsidRPr="00CD7289">
        <w:rPr>
          <w:rFonts w:ascii="Verdana" w:hAnsi="Verdana"/>
          <w:sz w:val="20"/>
          <w:szCs w:val="20"/>
        </w:rPr>
        <w:t>Nájemce prostor sloužících podnikání v č.</w:t>
      </w:r>
      <w:r>
        <w:rPr>
          <w:rFonts w:ascii="Verdana" w:hAnsi="Verdana"/>
          <w:sz w:val="20"/>
          <w:szCs w:val="20"/>
        </w:rPr>
        <w:t xml:space="preserve"> </w:t>
      </w:r>
      <w:r w:rsidRPr="00CD7289">
        <w:rPr>
          <w:rFonts w:ascii="Verdana" w:hAnsi="Verdana"/>
          <w:sz w:val="20"/>
          <w:szCs w:val="20"/>
        </w:rPr>
        <w:t xml:space="preserve">p. 552, Havlíčkovo náměstí, Kutná Hora, pan </w:t>
      </w:r>
      <w:r>
        <w:rPr>
          <w:rFonts w:ascii="Verdana" w:hAnsi="Verdana"/>
          <w:sz w:val="20"/>
          <w:szCs w:val="20"/>
        </w:rPr>
        <w:t>Buňka</w:t>
      </w:r>
      <w:r w:rsidRPr="00CD7289">
        <w:rPr>
          <w:rFonts w:ascii="Verdana" w:hAnsi="Verdana"/>
          <w:sz w:val="20"/>
          <w:szCs w:val="20"/>
        </w:rPr>
        <w:t xml:space="preserve"> požádal o </w:t>
      </w:r>
      <w:r>
        <w:rPr>
          <w:rFonts w:ascii="Verdana" w:hAnsi="Verdana"/>
          <w:sz w:val="20"/>
          <w:szCs w:val="20"/>
        </w:rPr>
        <w:t>prominutí úhrady</w:t>
      </w:r>
      <w:r w:rsidRPr="00CD7289">
        <w:rPr>
          <w:rFonts w:ascii="Verdana" w:hAnsi="Verdana"/>
          <w:sz w:val="20"/>
          <w:szCs w:val="20"/>
        </w:rPr>
        <w:t xml:space="preserve"> nájemného </w:t>
      </w:r>
      <w:r>
        <w:rPr>
          <w:rFonts w:ascii="Verdana" w:hAnsi="Verdana"/>
          <w:sz w:val="20"/>
          <w:szCs w:val="20"/>
        </w:rPr>
        <w:t>ve výši 60 % za období od 1. 7. 2020 do </w:t>
      </w:r>
      <w:proofErr w:type="gramStart"/>
      <w:r>
        <w:rPr>
          <w:rFonts w:ascii="Verdana" w:hAnsi="Verdana"/>
          <w:sz w:val="20"/>
          <w:szCs w:val="20"/>
        </w:rPr>
        <w:t>31.3.2021</w:t>
      </w:r>
      <w:proofErr w:type="gramEnd"/>
      <w:r>
        <w:rPr>
          <w:rFonts w:ascii="Verdana" w:hAnsi="Verdana"/>
          <w:sz w:val="20"/>
          <w:szCs w:val="20"/>
        </w:rPr>
        <w:t xml:space="preserve"> </w:t>
      </w:r>
      <w:r w:rsidRPr="00CD7289">
        <w:rPr>
          <w:rFonts w:ascii="Verdana" w:hAnsi="Verdana"/>
          <w:sz w:val="20"/>
          <w:szCs w:val="20"/>
        </w:rPr>
        <w:t xml:space="preserve">z důvodu pandemie COVID. Nájemce provozuje v pronajatých prostorech </w:t>
      </w:r>
      <w:r>
        <w:rPr>
          <w:rFonts w:ascii="Verdana" w:hAnsi="Verdana"/>
          <w:sz w:val="20"/>
          <w:szCs w:val="20"/>
        </w:rPr>
        <w:t>expozice s tématikou týkající se historie Kutné Hory</w:t>
      </w:r>
      <w:r w:rsidRPr="00CD7289">
        <w:rPr>
          <w:rFonts w:ascii="Verdana" w:hAnsi="Verdana"/>
          <w:sz w:val="20"/>
          <w:szCs w:val="20"/>
        </w:rPr>
        <w:t>.</w:t>
      </w:r>
    </w:p>
    <w:p w:rsidR="00B8779D" w:rsidRPr="00B07305" w:rsidRDefault="00B8779D" w:rsidP="00B8779D">
      <w:pPr>
        <w:pStyle w:val="Bezmezer"/>
        <w:rPr>
          <w:b/>
          <w:szCs w:val="20"/>
        </w:rPr>
      </w:pPr>
    </w:p>
    <w:p w:rsidR="00B8779D" w:rsidRPr="002F2554" w:rsidRDefault="00B8779D" w:rsidP="00B8779D">
      <w:pPr>
        <w:jc w:val="both"/>
        <w:rPr>
          <w:rFonts w:ascii="Verdana" w:hAnsi="Verdana"/>
          <w:sz w:val="20"/>
          <w:szCs w:val="20"/>
        </w:rPr>
      </w:pPr>
      <w:r>
        <w:rPr>
          <w:rFonts w:ascii="Verdana" w:hAnsi="Verdana"/>
          <w:b/>
          <w:sz w:val="20"/>
          <w:szCs w:val="20"/>
        </w:rPr>
        <w:t>3/02</w:t>
      </w:r>
      <w:r w:rsidRPr="00096030">
        <w:t xml:space="preserve"> </w:t>
      </w:r>
      <w:r>
        <w:rPr>
          <w:rFonts w:ascii="Verdana" w:hAnsi="Verdana"/>
          <w:b/>
          <w:sz w:val="20"/>
          <w:szCs w:val="20"/>
        </w:rPr>
        <w:t xml:space="preserve"> </w:t>
      </w:r>
      <w:r w:rsidRPr="00E727D2">
        <w:rPr>
          <w:rFonts w:ascii="Verdana" w:hAnsi="Verdana"/>
          <w:b/>
          <w:sz w:val="20"/>
          <w:szCs w:val="20"/>
        </w:rPr>
        <w:t>Zpráva k založení společenství vlastníků</w:t>
      </w:r>
    </w:p>
    <w:p w:rsidR="00B8779D" w:rsidRDefault="00B8779D" w:rsidP="00B8779D">
      <w:pPr>
        <w:jc w:val="both"/>
        <w:rPr>
          <w:rFonts w:ascii="Verdana" w:hAnsi="Verdana"/>
          <w:bCs/>
          <w:sz w:val="20"/>
          <w:szCs w:val="20"/>
        </w:rPr>
      </w:pPr>
      <w:r>
        <w:rPr>
          <w:rFonts w:ascii="Verdana" w:hAnsi="Verdana"/>
          <w:bCs/>
          <w:sz w:val="20"/>
          <w:szCs w:val="20"/>
        </w:rPr>
        <w:t>V</w:t>
      </w:r>
      <w:r w:rsidRPr="00767443">
        <w:rPr>
          <w:rFonts w:ascii="Verdana" w:hAnsi="Verdana"/>
          <w:bCs/>
          <w:sz w:val="20"/>
          <w:szCs w:val="20"/>
        </w:rPr>
        <w:t xml:space="preserve"> souladu s § 84 písm. e) zákona číslo 128/2000 Sb. </w:t>
      </w:r>
      <w:r>
        <w:rPr>
          <w:rFonts w:ascii="Verdana" w:hAnsi="Verdana"/>
          <w:bCs/>
          <w:sz w:val="20"/>
          <w:szCs w:val="20"/>
        </w:rPr>
        <w:t>bude město Kutná Hora zakládat k bytovému domu č. p. 656, 657, 658 v ul. Puškinská, pro potřeby prodeje některých bytových jednotek v domě, společenství vlastníků jednotek</w:t>
      </w:r>
      <w:r w:rsidRPr="00767443">
        <w:rPr>
          <w:rFonts w:ascii="Verdana" w:hAnsi="Verdana"/>
          <w:bCs/>
          <w:sz w:val="20"/>
          <w:szCs w:val="20"/>
        </w:rPr>
        <w:t xml:space="preserve">.   </w:t>
      </w:r>
    </w:p>
    <w:p w:rsidR="00B8779D" w:rsidRDefault="00B8779D" w:rsidP="00B8779D">
      <w:pPr>
        <w:jc w:val="both"/>
        <w:rPr>
          <w:rFonts w:ascii="Verdana" w:hAnsi="Verdana"/>
          <w:bCs/>
          <w:sz w:val="20"/>
          <w:szCs w:val="20"/>
        </w:rPr>
      </w:pPr>
    </w:p>
    <w:p w:rsidR="00B8779D" w:rsidRDefault="00B8779D" w:rsidP="00B8779D">
      <w:pPr>
        <w:jc w:val="both"/>
        <w:rPr>
          <w:rFonts w:ascii="Verdana" w:hAnsi="Verdana"/>
          <w:bCs/>
          <w:sz w:val="20"/>
          <w:szCs w:val="20"/>
        </w:rPr>
      </w:pPr>
      <w:r w:rsidRPr="00B07305">
        <w:rPr>
          <w:rFonts w:ascii="Verdana" w:hAnsi="Verdana"/>
          <w:b/>
          <w:sz w:val="20"/>
          <w:szCs w:val="20"/>
        </w:rPr>
        <w:t xml:space="preserve">3/03 </w:t>
      </w:r>
      <w:r w:rsidRPr="007312E1">
        <w:rPr>
          <w:rFonts w:ascii="Verdana" w:hAnsi="Verdana"/>
          <w:b/>
          <w:sz w:val="20"/>
          <w:szCs w:val="20"/>
        </w:rPr>
        <w:t>Záměr na směnu kostela sv. J. Nepomuc</w:t>
      </w:r>
      <w:r>
        <w:rPr>
          <w:rFonts w:ascii="Verdana" w:hAnsi="Verdana"/>
          <w:b/>
          <w:sz w:val="20"/>
          <w:szCs w:val="20"/>
        </w:rPr>
        <w:t>kého</w:t>
      </w:r>
      <w:r w:rsidRPr="007312E1">
        <w:rPr>
          <w:rFonts w:ascii="Verdana" w:hAnsi="Verdana"/>
          <w:b/>
          <w:sz w:val="20"/>
          <w:szCs w:val="20"/>
        </w:rPr>
        <w:t xml:space="preserve"> za Kapli Božího těla (ŘKF)</w:t>
      </w:r>
      <w:r>
        <w:rPr>
          <w:rFonts w:ascii="Verdana" w:hAnsi="Verdana"/>
          <w:b/>
          <w:sz w:val="20"/>
          <w:szCs w:val="20"/>
        </w:rPr>
        <w:t xml:space="preserve"> </w:t>
      </w:r>
      <w:r w:rsidRPr="007312E1">
        <w:rPr>
          <w:rFonts w:ascii="Verdana" w:hAnsi="Verdana"/>
          <w:bCs/>
          <w:sz w:val="20"/>
          <w:szCs w:val="20"/>
        </w:rPr>
        <w:t>Římskokatolická farnost - arciděkanství Kutná Hora</w:t>
      </w:r>
      <w:r>
        <w:rPr>
          <w:rFonts w:ascii="Verdana" w:hAnsi="Verdana"/>
          <w:bCs/>
          <w:sz w:val="20"/>
          <w:szCs w:val="20"/>
        </w:rPr>
        <w:t xml:space="preserve"> oslovilo město Kutná Hora s návrhem </w:t>
      </w:r>
      <w:r w:rsidRPr="00A93697">
        <w:rPr>
          <w:rFonts w:ascii="Verdana" w:hAnsi="Verdana"/>
          <w:bCs/>
          <w:sz w:val="20"/>
          <w:szCs w:val="20"/>
        </w:rPr>
        <w:t>směnit objekt kostela sv. Jana Nepomuckého bez č. p. /č. ev., který je součástí pozemku p. č. 1047 o výměře 481 m</w:t>
      </w:r>
      <w:r w:rsidRPr="00A93697">
        <w:rPr>
          <w:rFonts w:ascii="Verdana" w:hAnsi="Verdana"/>
          <w:bCs/>
          <w:sz w:val="20"/>
          <w:szCs w:val="20"/>
          <w:vertAlign w:val="superscript"/>
        </w:rPr>
        <w:t>2</w:t>
      </w:r>
      <w:r w:rsidRPr="00A93697">
        <w:rPr>
          <w:rFonts w:ascii="Verdana" w:hAnsi="Verdana"/>
          <w:bCs/>
          <w:sz w:val="20"/>
          <w:szCs w:val="20"/>
        </w:rPr>
        <w:t xml:space="preserve"> a pozemek p. č.  1048 o výměře 173 m</w:t>
      </w:r>
      <w:r w:rsidRPr="00A93697">
        <w:rPr>
          <w:rFonts w:ascii="Verdana" w:hAnsi="Verdana"/>
          <w:bCs/>
          <w:sz w:val="20"/>
          <w:szCs w:val="20"/>
          <w:vertAlign w:val="superscript"/>
        </w:rPr>
        <w:t>2</w:t>
      </w:r>
      <w:r w:rsidRPr="00A93697">
        <w:rPr>
          <w:rFonts w:ascii="Verdana" w:hAnsi="Verdana"/>
          <w:bCs/>
          <w:sz w:val="20"/>
          <w:szCs w:val="20"/>
        </w:rPr>
        <w:t xml:space="preserve">, oba v k. </w:t>
      </w:r>
      <w:proofErr w:type="spellStart"/>
      <w:r w:rsidRPr="00A93697">
        <w:rPr>
          <w:rFonts w:ascii="Verdana" w:hAnsi="Verdana"/>
          <w:bCs/>
          <w:sz w:val="20"/>
          <w:szCs w:val="20"/>
        </w:rPr>
        <w:t>ú.</w:t>
      </w:r>
      <w:proofErr w:type="spellEnd"/>
      <w:r w:rsidRPr="00A93697">
        <w:rPr>
          <w:rFonts w:ascii="Verdana" w:hAnsi="Verdana"/>
          <w:bCs/>
          <w:sz w:val="20"/>
          <w:szCs w:val="20"/>
        </w:rPr>
        <w:t xml:space="preserve"> Kutná Hora ve vlastnictví Římskokatolické farnosti - arciděkanství Kutná Hora</w:t>
      </w:r>
      <w:r>
        <w:rPr>
          <w:rFonts w:ascii="Verdana" w:hAnsi="Verdana"/>
          <w:bCs/>
          <w:sz w:val="20"/>
          <w:szCs w:val="20"/>
        </w:rPr>
        <w:t xml:space="preserve"> </w:t>
      </w:r>
      <w:r w:rsidRPr="00A93697">
        <w:rPr>
          <w:rFonts w:ascii="Verdana" w:hAnsi="Verdana"/>
          <w:bCs/>
          <w:sz w:val="20"/>
          <w:szCs w:val="20"/>
        </w:rPr>
        <w:t>za objekt Kaple Božího těla č. p. 679, která je součástí pozemku p. č. 220/1 o výměře 569 m</w:t>
      </w:r>
      <w:r w:rsidRPr="00A93697">
        <w:rPr>
          <w:rFonts w:ascii="Verdana" w:hAnsi="Verdana"/>
          <w:bCs/>
          <w:sz w:val="20"/>
          <w:szCs w:val="20"/>
          <w:vertAlign w:val="superscript"/>
        </w:rPr>
        <w:t>2</w:t>
      </w:r>
      <w:r w:rsidRPr="00A93697">
        <w:rPr>
          <w:rFonts w:ascii="Verdana" w:hAnsi="Verdana"/>
          <w:bCs/>
          <w:sz w:val="20"/>
          <w:szCs w:val="20"/>
        </w:rPr>
        <w:t>, objekt občanské vybavenosti č. p. 685 (informační centrum u Chrámu sv. Barbory), který je součástí pozemku p. č. 227/2 o výměře 49 m</w:t>
      </w:r>
      <w:r w:rsidRPr="00A93697">
        <w:rPr>
          <w:rFonts w:ascii="Verdana" w:hAnsi="Verdana"/>
          <w:bCs/>
          <w:sz w:val="20"/>
          <w:szCs w:val="20"/>
          <w:vertAlign w:val="superscript"/>
        </w:rPr>
        <w:t>2</w:t>
      </w:r>
      <w:r w:rsidRPr="00A93697">
        <w:rPr>
          <w:rFonts w:ascii="Verdana" w:hAnsi="Verdana"/>
          <w:bCs/>
          <w:sz w:val="20"/>
          <w:szCs w:val="20"/>
        </w:rPr>
        <w:t xml:space="preserve"> a část pozemku p. č. 227/1 o výměře cca 145 m</w:t>
      </w:r>
      <w:r w:rsidRPr="00A93697">
        <w:rPr>
          <w:rFonts w:ascii="Verdana" w:hAnsi="Verdana"/>
          <w:bCs/>
          <w:sz w:val="20"/>
          <w:szCs w:val="20"/>
          <w:vertAlign w:val="superscript"/>
        </w:rPr>
        <w:t>2</w:t>
      </w:r>
      <w:r>
        <w:rPr>
          <w:rFonts w:ascii="Verdana" w:hAnsi="Verdana"/>
          <w:bCs/>
          <w:sz w:val="20"/>
          <w:szCs w:val="20"/>
        </w:rPr>
        <w:t xml:space="preserve">, vše v k. </w:t>
      </w:r>
      <w:proofErr w:type="spellStart"/>
      <w:r>
        <w:rPr>
          <w:rFonts w:ascii="Verdana" w:hAnsi="Verdana"/>
          <w:bCs/>
          <w:sz w:val="20"/>
          <w:szCs w:val="20"/>
        </w:rPr>
        <w:t>ú.</w:t>
      </w:r>
      <w:proofErr w:type="spellEnd"/>
      <w:r>
        <w:rPr>
          <w:rFonts w:ascii="Verdana" w:hAnsi="Verdana"/>
          <w:bCs/>
          <w:sz w:val="20"/>
          <w:szCs w:val="20"/>
        </w:rPr>
        <w:t xml:space="preserve"> Kutná Hora</w:t>
      </w:r>
      <w:r w:rsidRPr="00A93697">
        <w:rPr>
          <w:rFonts w:ascii="Verdana" w:hAnsi="Verdana"/>
          <w:bCs/>
          <w:sz w:val="20"/>
          <w:szCs w:val="20"/>
        </w:rPr>
        <w:t xml:space="preserve"> </w:t>
      </w:r>
      <w:r>
        <w:rPr>
          <w:rFonts w:ascii="Verdana" w:hAnsi="Verdana"/>
          <w:bCs/>
          <w:sz w:val="20"/>
          <w:szCs w:val="20"/>
        </w:rPr>
        <w:t>ve vlastnictví města Kutná Hora.</w:t>
      </w:r>
    </w:p>
    <w:p w:rsidR="00B8779D" w:rsidRPr="00B07305" w:rsidRDefault="00B8779D" w:rsidP="00B8779D">
      <w:pPr>
        <w:jc w:val="both"/>
        <w:rPr>
          <w:rFonts w:ascii="Verdana" w:hAnsi="Verdana"/>
          <w:b/>
          <w:sz w:val="20"/>
          <w:szCs w:val="20"/>
        </w:rPr>
      </w:pPr>
    </w:p>
    <w:p w:rsidR="00B8779D" w:rsidRPr="00B07305" w:rsidRDefault="00B8779D" w:rsidP="00B8779D">
      <w:pPr>
        <w:contextualSpacing/>
        <w:jc w:val="both"/>
        <w:rPr>
          <w:rFonts w:ascii="Verdana" w:eastAsia="Times New Roman" w:hAnsi="Verdana"/>
          <w:sz w:val="20"/>
          <w:szCs w:val="20"/>
          <w:lang w:eastAsia="cs-CZ"/>
        </w:rPr>
      </w:pPr>
      <w:r w:rsidRPr="00B07305">
        <w:rPr>
          <w:rFonts w:ascii="Verdana" w:hAnsi="Verdana"/>
          <w:b/>
          <w:sz w:val="20"/>
          <w:szCs w:val="20"/>
        </w:rPr>
        <w:t xml:space="preserve">3/04  </w:t>
      </w:r>
      <w:r w:rsidRPr="00E727D2">
        <w:rPr>
          <w:rFonts w:ascii="Verdana" w:hAnsi="Verdana"/>
          <w:b/>
          <w:sz w:val="20"/>
          <w:szCs w:val="20"/>
        </w:rPr>
        <w:t xml:space="preserve">Prodej pozemku v k. </w:t>
      </w:r>
      <w:proofErr w:type="spellStart"/>
      <w:r w:rsidRPr="00E727D2">
        <w:rPr>
          <w:rFonts w:ascii="Verdana" w:hAnsi="Verdana"/>
          <w:b/>
          <w:sz w:val="20"/>
          <w:szCs w:val="20"/>
        </w:rPr>
        <w:t>ú.</w:t>
      </w:r>
      <w:proofErr w:type="spellEnd"/>
      <w:r w:rsidRPr="00E727D2">
        <w:rPr>
          <w:rFonts w:ascii="Verdana" w:hAnsi="Verdana"/>
          <w:b/>
          <w:sz w:val="20"/>
          <w:szCs w:val="20"/>
        </w:rPr>
        <w:t xml:space="preserve"> Kutná Hora (p. Novotný)</w:t>
      </w:r>
      <w:r>
        <w:rPr>
          <w:rFonts w:ascii="Verdana" w:hAnsi="Verdana"/>
          <w:b/>
          <w:sz w:val="20"/>
          <w:szCs w:val="20"/>
        </w:rPr>
        <w:t xml:space="preserve"> </w:t>
      </w:r>
    </w:p>
    <w:p w:rsidR="00B8779D" w:rsidRDefault="00B8779D" w:rsidP="00B8779D">
      <w:pPr>
        <w:jc w:val="both"/>
        <w:rPr>
          <w:rFonts w:ascii="Verdana" w:hAnsi="Verdana"/>
          <w:sz w:val="20"/>
          <w:szCs w:val="20"/>
        </w:rPr>
      </w:pPr>
      <w:r>
        <w:rPr>
          <w:rFonts w:ascii="Verdana" w:hAnsi="Verdana"/>
          <w:sz w:val="20"/>
          <w:szCs w:val="20"/>
        </w:rPr>
        <w:t>Pan Novotný požádal o koupi pozemku p. č. 3406/7 o výměře 17 m</w:t>
      </w:r>
      <w:r>
        <w:rPr>
          <w:rFonts w:ascii="Verdana" w:hAnsi="Verdana"/>
          <w:sz w:val="20"/>
          <w:szCs w:val="20"/>
          <w:vertAlign w:val="superscript"/>
        </w:rPr>
        <w:t>2</w:t>
      </w:r>
      <w:r>
        <w:rPr>
          <w:rFonts w:ascii="Verdana" w:hAnsi="Verdana"/>
          <w:sz w:val="20"/>
          <w:szCs w:val="20"/>
        </w:rPr>
        <w:t xml:space="preserve"> v k. </w:t>
      </w:r>
      <w:proofErr w:type="spellStart"/>
      <w:r>
        <w:rPr>
          <w:rFonts w:ascii="Verdana" w:hAnsi="Verdana"/>
          <w:sz w:val="20"/>
          <w:szCs w:val="20"/>
        </w:rPr>
        <w:t>ú.</w:t>
      </w:r>
      <w:proofErr w:type="spellEnd"/>
      <w:r>
        <w:rPr>
          <w:rFonts w:ascii="Verdana" w:hAnsi="Verdana"/>
          <w:sz w:val="20"/>
          <w:szCs w:val="20"/>
        </w:rPr>
        <w:t xml:space="preserve"> Kutná Hora ve vlastnictví města Kutná Hora, na kterém se nachází stavba jeho garáže.</w:t>
      </w:r>
    </w:p>
    <w:p w:rsidR="00B8779D" w:rsidRPr="00767443" w:rsidRDefault="00B8779D" w:rsidP="00B8779D">
      <w:pPr>
        <w:jc w:val="both"/>
        <w:rPr>
          <w:rFonts w:ascii="Verdana" w:hAnsi="Verdana"/>
          <w:sz w:val="20"/>
          <w:szCs w:val="20"/>
        </w:rPr>
      </w:pPr>
    </w:p>
    <w:p w:rsidR="00B8779D" w:rsidRPr="00B07305" w:rsidRDefault="00B8779D" w:rsidP="00B8779D">
      <w:pPr>
        <w:contextualSpacing/>
        <w:jc w:val="both"/>
        <w:rPr>
          <w:rFonts w:ascii="Verdana" w:eastAsia="Times New Roman" w:hAnsi="Verdana"/>
          <w:color w:val="000000"/>
          <w:sz w:val="20"/>
          <w:szCs w:val="20"/>
        </w:rPr>
      </w:pPr>
      <w:r w:rsidRPr="00B07305">
        <w:rPr>
          <w:rFonts w:ascii="Verdana" w:hAnsi="Verdana"/>
          <w:b/>
          <w:sz w:val="20"/>
          <w:szCs w:val="20"/>
        </w:rPr>
        <w:t xml:space="preserve">3/05  </w:t>
      </w:r>
      <w:r>
        <w:rPr>
          <w:rFonts w:ascii="Verdana" w:hAnsi="Verdana"/>
          <w:b/>
          <w:sz w:val="20"/>
          <w:szCs w:val="20"/>
        </w:rPr>
        <w:t xml:space="preserve"> </w:t>
      </w:r>
      <w:r w:rsidRPr="00E727D2">
        <w:rPr>
          <w:rFonts w:ascii="Verdana" w:hAnsi="Verdana"/>
          <w:b/>
          <w:sz w:val="20"/>
          <w:szCs w:val="20"/>
        </w:rPr>
        <w:t>Vyhodnocení VŘ č. M 1/21 (prodej pozemku k.</w:t>
      </w:r>
      <w:r>
        <w:rPr>
          <w:rFonts w:ascii="Verdana" w:hAnsi="Verdana"/>
          <w:b/>
          <w:sz w:val="20"/>
          <w:szCs w:val="20"/>
        </w:rPr>
        <w:t xml:space="preserve"> </w:t>
      </w:r>
      <w:proofErr w:type="spellStart"/>
      <w:r w:rsidRPr="00E727D2">
        <w:rPr>
          <w:rFonts w:ascii="Verdana" w:hAnsi="Verdana"/>
          <w:b/>
          <w:sz w:val="20"/>
          <w:szCs w:val="20"/>
        </w:rPr>
        <w:t>ú.</w:t>
      </w:r>
      <w:proofErr w:type="spellEnd"/>
      <w:r w:rsidRPr="00E727D2">
        <w:rPr>
          <w:rFonts w:ascii="Verdana" w:hAnsi="Verdana"/>
          <w:b/>
          <w:sz w:val="20"/>
          <w:szCs w:val="20"/>
        </w:rPr>
        <w:t xml:space="preserve"> </w:t>
      </w:r>
      <w:proofErr w:type="spellStart"/>
      <w:r w:rsidRPr="00E727D2">
        <w:rPr>
          <w:rFonts w:ascii="Verdana" w:hAnsi="Verdana"/>
          <w:b/>
          <w:sz w:val="20"/>
          <w:szCs w:val="20"/>
        </w:rPr>
        <w:t>Neškaredice</w:t>
      </w:r>
      <w:proofErr w:type="spellEnd"/>
      <w:r w:rsidRPr="00E727D2">
        <w:rPr>
          <w:rFonts w:ascii="Verdana" w:hAnsi="Verdana"/>
          <w:b/>
          <w:sz w:val="20"/>
          <w:szCs w:val="20"/>
        </w:rPr>
        <w:t>)</w:t>
      </w:r>
    </w:p>
    <w:p w:rsidR="00B8779D" w:rsidRDefault="00B8779D" w:rsidP="00B8779D">
      <w:pPr>
        <w:jc w:val="both"/>
        <w:rPr>
          <w:rFonts w:ascii="Verdana" w:hAnsi="Verdana"/>
          <w:sz w:val="20"/>
          <w:szCs w:val="20"/>
        </w:rPr>
      </w:pPr>
      <w:r>
        <w:rPr>
          <w:rFonts w:ascii="Verdana" w:hAnsi="Verdana"/>
          <w:sz w:val="20"/>
          <w:szCs w:val="20"/>
        </w:rPr>
        <w:t xml:space="preserve">Majetkové oddělení předkládá k vyhodnocení přihlášky do výběrového řízení č. M 1/21 </w:t>
      </w:r>
      <w:r>
        <w:rPr>
          <w:rFonts w:ascii="Verdana" w:hAnsi="Verdana"/>
          <w:sz w:val="20"/>
          <w:szCs w:val="20"/>
        </w:rPr>
        <w:br/>
        <w:t xml:space="preserve">na prodej části pozemku </w:t>
      </w:r>
      <w:r w:rsidRPr="00F7163E">
        <w:rPr>
          <w:rFonts w:ascii="Verdana" w:hAnsi="Verdana"/>
          <w:sz w:val="20"/>
          <w:szCs w:val="20"/>
        </w:rPr>
        <w:t>p.</w:t>
      </w:r>
      <w:r>
        <w:rPr>
          <w:rFonts w:ascii="Verdana" w:hAnsi="Verdana"/>
          <w:sz w:val="20"/>
          <w:szCs w:val="20"/>
        </w:rPr>
        <w:t xml:space="preserve"> </w:t>
      </w:r>
      <w:r w:rsidRPr="00F7163E">
        <w:rPr>
          <w:rFonts w:ascii="Verdana" w:hAnsi="Verdana"/>
          <w:sz w:val="20"/>
          <w:szCs w:val="20"/>
        </w:rPr>
        <w:t xml:space="preserve">č. </w:t>
      </w:r>
      <w:r>
        <w:rPr>
          <w:rFonts w:ascii="Verdana" w:hAnsi="Verdana"/>
          <w:sz w:val="20"/>
          <w:szCs w:val="20"/>
        </w:rPr>
        <w:t>12</w:t>
      </w:r>
      <w:r w:rsidRPr="00F7163E">
        <w:rPr>
          <w:rFonts w:ascii="Verdana" w:hAnsi="Verdana"/>
          <w:sz w:val="20"/>
          <w:szCs w:val="20"/>
        </w:rPr>
        <w:t>7</w:t>
      </w:r>
      <w:r>
        <w:rPr>
          <w:rFonts w:ascii="Verdana" w:hAnsi="Verdana"/>
          <w:sz w:val="20"/>
          <w:szCs w:val="20"/>
        </w:rPr>
        <w:t>/1 o výměře</w:t>
      </w:r>
      <w:r w:rsidRPr="00F7163E">
        <w:rPr>
          <w:rFonts w:ascii="Verdana" w:hAnsi="Verdana"/>
          <w:sz w:val="20"/>
          <w:szCs w:val="20"/>
        </w:rPr>
        <w:t xml:space="preserve"> </w:t>
      </w:r>
      <w:r>
        <w:rPr>
          <w:rFonts w:ascii="Verdana" w:hAnsi="Verdana"/>
          <w:sz w:val="20"/>
          <w:szCs w:val="20"/>
        </w:rPr>
        <w:t xml:space="preserve">811 </w:t>
      </w:r>
      <w:r w:rsidRPr="00F7163E">
        <w:rPr>
          <w:rFonts w:ascii="Verdana" w:hAnsi="Verdana"/>
          <w:sz w:val="20"/>
          <w:szCs w:val="20"/>
        </w:rPr>
        <w:t>m</w:t>
      </w:r>
      <w:r w:rsidRPr="00832BFF">
        <w:rPr>
          <w:rFonts w:ascii="Verdana" w:hAnsi="Verdana"/>
          <w:sz w:val="20"/>
          <w:szCs w:val="20"/>
          <w:vertAlign w:val="superscript"/>
        </w:rPr>
        <w:t>2</w:t>
      </w:r>
      <w:r w:rsidRPr="00F7163E">
        <w:rPr>
          <w:rFonts w:ascii="Verdana" w:hAnsi="Verdana"/>
          <w:sz w:val="20"/>
          <w:szCs w:val="20"/>
        </w:rPr>
        <w:t xml:space="preserve"> (dle geometrického plánu </w:t>
      </w:r>
      <w:r>
        <w:rPr>
          <w:rFonts w:ascii="Verdana" w:hAnsi="Verdana"/>
          <w:sz w:val="20"/>
          <w:szCs w:val="20"/>
        </w:rPr>
        <w:br/>
      </w:r>
      <w:r w:rsidRPr="00F7163E">
        <w:rPr>
          <w:rFonts w:ascii="Verdana" w:hAnsi="Verdana"/>
          <w:sz w:val="20"/>
          <w:szCs w:val="20"/>
        </w:rPr>
        <w:t>č. 1</w:t>
      </w:r>
      <w:r>
        <w:rPr>
          <w:rFonts w:ascii="Verdana" w:hAnsi="Verdana"/>
          <w:sz w:val="20"/>
          <w:szCs w:val="20"/>
        </w:rPr>
        <w:t>95</w:t>
      </w:r>
      <w:r w:rsidRPr="00F7163E">
        <w:rPr>
          <w:rFonts w:ascii="Verdana" w:hAnsi="Verdana"/>
          <w:sz w:val="20"/>
          <w:szCs w:val="20"/>
        </w:rPr>
        <w:t>-1</w:t>
      </w:r>
      <w:r>
        <w:rPr>
          <w:rFonts w:ascii="Verdana" w:hAnsi="Verdana"/>
          <w:sz w:val="20"/>
          <w:szCs w:val="20"/>
        </w:rPr>
        <w:t>66</w:t>
      </w:r>
      <w:r w:rsidRPr="00F7163E">
        <w:rPr>
          <w:rFonts w:ascii="Verdana" w:hAnsi="Verdana"/>
          <w:sz w:val="20"/>
          <w:szCs w:val="20"/>
        </w:rPr>
        <w:t>/201</w:t>
      </w:r>
      <w:r>
        <w:rPr>
          <w:rFonts w:ascii="Verdana" w:hAnsi="Verdana"/>
          <w:sz w:val="20"/>
          <w:szCs w:val="20"/>
        </w:rPr>
        <w:t>9</w:t>
      </w:r>
      <w:r w:rsidRPr="00F7163E">
        <w:rPr>
          <w:rFonts w:ascii="Verdana" w:hAnsi="Verdana"/>
          <w:sz w:val="20"/>
          <w:szCs w:val="20"/>
        </w:rPr>
        <w:t xml:space="preserve"> pozem</w:t>
      </w:r>
      <w:r>
        <w:rPr>
          <w:rFonts w:ascii="Verdana" w:hAnsi="Verdana"/>
          <w:sz w:val="20"/>
          <w:szCs w:val="20"/>
        </w:rPr>
        <w:t>e</w:t>
      </w:r>
      <w:r w:rsidRPr="00F7163E">
        <w:rPr>
          <w:rFonts w:ascii="Verdana" w:hAnsi="Verdana"/>
          <w:sz w:val="20"/>
          <w:szCs w:val="20"/>
        </w:rPr>
        <w:t>k p.</w:t>
      </w:r>
      <w:r>
        <w:rPr>
          <w:rFonts w:ascii="Verdana" w:hAnsi="Verdana"/>
          <w:sz w:val="20"/>
          <w:szCs w:val="20"/>
        </w:rPr>
        <w:t xml:space="preserve"> </w:t>
      </w:r>
      <w:r w:rsidRPr="00F7163E">
        <w:rPr>
          <w:rFonts w:ascii="Verdana" w:hAnsi="Verdana"/>
          <w:sz w:val="20"/>
          <w:szCs w:val="20"/>
        </w:rPr>
        <w:t xml:space="preserve">č. </w:t>
      </w:r>
      <w:r>
        <w:rPr>
          <w:rFonts w:ascii="Verdana" w:hAnsi="Verdana"/>
          <w:sz w:val="20"/>
          <w:szCs w:val="20"/>
        </w:rPr>
        <w:t xml:space="preserve">127/1) </w:t>
      </w:r>
      <w:r w:rsidRPr="00F7163E">
        <w:rPr>
          <w:rFonts w:ascii="Verdana" w:hAnsi="Verdana"/>
          <w:sz w:val="20"/>
          <w:szCs w:val="20"/>
        </w:rPr>
        <w:t>v k.</w:t>
      </w:r>
      <w:r>
        <w:rPr>
          <w:rFonts w:ascii="Verdana" w:hAnsi="Verdana"/>
          <w:sz w:val="20"/>
          <w:szCs w:val="20"/>
        </w:rPr>
        <w:t xml:space="preserve"> </w:t>
      </w:r>
      <w:proofErr w:type="spellStart"/>
      <w:r w:rsidRPr="00F7163E">
        <w:rPr>
          <w:rFonts w:ascii="Verdana" w:hAnsi="Verdana"/>
          <w:sz w:val="20"/>
          <w:szCs w:val="20"/>
        </w:rPr>
        <w:t>ú.</w:t>
      </w:r>
      <w:proofErr w:type="spellEnd"/>
      <w:r w:rsidRPr="00F7163E">
        <w:rPr>
          <w:rFonts w:ascii="Verdana" w:hAnsi="Verdana"/>
          <w:sz w:val="20"/>
          <w:szCs w:val="20"/>
        </w:rPr>
        <w:t xml:space="preserve"> </w:t>
      </w:r>
      <w:proofErr w:type="spellStart"/>
      <w:r>
        <w:rPr>
          <w:rFonts w:ascii="Verdana" w:hAnsi="Verdana"/>
          <w:sz w:val="20"/>
          <w:szCs w:val="20"/>
        </w:rPr>
        <w:t>Neškaredice</w:t>
      </w:r>
      <w:proofErr w:type="spellEnd"/>
      <w:r>
        <w:rPr>
          <w:rFonts w:ascii="Verdana" w:hAnsi="Verdana"/>
          <w:sz w:val="20"/>
          <w:szCs w:val="20"/>
        </w:rPr>
        <w:t>.</w:t>
      </w:r>
    </w:p>
    <w:p w:rsidR="00B8779D" w:rsidRDefault="00B8779D" w:rsidP="00B8779D">
      <w:pPr>
        <w:jc w:val="both"/>
        <w:rPr>
          <w:rFonts w:ascii="Verdana" w:hAnsi="Verdana"/>
          <w:sz w:val="20"/>
          <w:szCs w:val="20"/>
        </w:rPr>
      </w:pPr>
    </w:p>
    <w:p w:rsidR="00B8779D" w:rsidRDefault="00B8779D" w:rsidP="00B8779D">
      <w:pPr>
        <w:contextualSpacing/>
        <w:jc w:val="both"/>
        <w:rPr>
          <w:rFonts w:ascii="Verdana" w:hAnsi="Verdana"/>
          <w:b/>
          <w:sz w:val="20"/>
          <w:szCs w:val="20"/>
        </w:rPr>
      </w:pPr>
      <w:r>
        <w:rPr>
          <w:rFonts w:ascii="Verdana" w:hAnsi="Verdana"/>
          <w:b/>
          <w:sz w:val="20"/>
          <w:szCs w:val="20"/>
        </w:rPr>
        <w:t>3/06</w:t>
      </w:r>
      <w:r w:rsidRPr="00096030">
        <w:t xml:space="preserve"> </w:t>
      </w:r>
      <w:r>
        <w:rPr>
          <w:rFonts w:ascii="Verdana" w:hAnsi="Verdana"/>
          <w:b/>
          <w:sz w:val="20"/>
          <w:szCs w:val="20"/>
        </w:rPr>
        <w:t xml:space="preserve"> </w:t>
      </w:r>
      <w:r w:rsidRPr="00E727D2">
        <w:rPr>
          <w:rFonts w:ascii="Verdana" w:hAnsi="Verdana"/>
          <w:b/>
          <w:sz w:val="20"/>
          <w:szCs w:val="20"/>
        </w:rPr>
        <w:t>Vyhodnocení VŘ č. M 2/21 (prodej pozemku k.</w:t>
      </w:r>
      <w:r>
        <w:rPr>
          <w:rFonts w:ascii="Verdana" w:hAnsi="Verdana"/>
          <w:b/>
          <w:sz w:val="20"/>
          <w:szCs w:val="20"/>
        </w:rPr>
        <w:t xml:space="preserve"> </w:t>
      </w:r>
      <w:proofErr w:type="spellStart"/>
      <w:r w:rsidRPr="00E727D2">
        <w:rPr>
          <w:rFonts w:ascii="Verdana" w:hAnsi="Verdana"/>
          <w:b/>
          <w:sz w:val="20"/>
          <w:szCs w:val="20"/>
        </w:rPr>
        <w:t>ú.</w:t>
      </w:r>
      <w:proofErr w:type="spellEnd"/>
      <w:r w:rsidRPr="00E727D2">
        <w:rPr>
          <w:rFonts w:ascii="Verdana" w:hAnsi="Verdana"/>
          <w:b/>
          <w:sz w:val="20"/>
          <w:szCs w:val="20"/>
        </w:rPr>
        <w:t xml:space="preserve"> </w:t>
      </w:r>
      <w:proofErr w:type="spellStart"/>
      <w:r w:rsidRPr="00E727D2">
        <w:rPr>
          <w:rFonts w:ascii="Verdana" w:hAnsi="Verdana"/>
          <w:b/>
          <w:sz w:val="20"/>
          <w:szCs w:val="20"/>
        </w:rPr>
        <w:t>Neškaredice</w:t>
      </w:r>
      <w:proofErr w:type="spellEnd"/>
      <w:r w:rsidRPr="00E727D2">
        <w:rPr>
          <w:rFonts w:ascii="Verdana" w:hAnsi="Verdana"/>
          <w:b/>
          <w:sz w:val="20"/>
          <w:szCs w:val="20"/>
        </w:rPr>
        <w:t>)</w:t>
      </w:r>
    </w:p>
    <w:p w:rsidR="00B8779D" w:rsidRDefault="00B8779D" w:rsidP="00B8779D">
      <w:pPr>
        <w:jc w:val="both"/>
        <w:rPr>
          <w:rFonts w:ascii="Verdana" w:hAnsi="Verdana"/>
          <w:sz w:val="20"/>
          <w:szCs w:val="20"/>
        </w:rPr>
      </w:pPr>
      <w:r>
        <w:rPr>
          <w:rFonts w:ascii="Verdana" w:hAnsi="Verdana"/>
          <w:sz w:val="20"/>
          <w:szCs w:val="20"/>
        </w:rPr>
        <w:lastRenderedPageBreak/>
        <w:t>Majetkové oddělení předkládá k vyhodnocení přihlášky do výběrového řízení č. M 2/21</w:t>
      </w:r>
      <w:r>
        <w:rPr>
          <w:rFonts w:ascii="Verdana" w:hAnsi="Verdana"/>
          <w:sz w:val="20"/>
          <w:szCs w:val="20"/>
        </w:rPr>
        <w:br/>
        <w:t xml:space="preserve">na prodej části pozemku </w:t>
      </w:r>
      <w:r w:rsidRPr="00F7163E">
        <w:rPr>
          <w:rFonts w:ascii="Verdana" w:hAnsi="Verdana"/>
          <w:sz w:val="20"/>
          <w:szCs w:val="20"/>
        </w:rPr>
        <w:t>p.</w:t>
      </w:r>
      <w:r>
        <w:rPr>
          <w:rFonts w:ascii="Verdana" w:hAnsi="Verdana"/>
          <w:sz w:val="20"/>
          <w:szCs w:val="20"/>
        </w:rPr>
        <w:t xml:space="preserve"> </w:t>
      </w:r>
      <w:r w:rsidRPr="00F7163E">
        <w:rPr>
          <w:rFonts w:ascii="Verdana" w:hAnsi="Verdana"/>
          <w:sz w:val="20"/>
          <w:szCs w:val="20"/>
        </w:rPr>
        <w:t xml:space="preserve">č. </w:t>
      </w:r>
      <w:r>
        <w:rPr>
          <w:rFonts w:ascii="Verdana" w:hAnsi="Verdana"/>
          <w:sz w:val="20"/>
          <w:szCs w:val="20"/>
        </w:rPr>
        <w:t>12</w:t>
      </w:r>
      <w:r w:rsidRPr="00F7163E">
        <w:rPr>
          <w:rFonts w:ascii="Verdana" w:hAnsi="Verdana"/>
          <w:sz w:val="20"/>
          <w:szCs w:val="20"/>
        </w:rPr>
        <w:t>7</w:t>
      </w:r>
      <w:r>
        <w:rPr>
          <w:rFonts w:ascii="Verdana" w:hAnsi="Verdana"/>
          <w:sz w:val="20"/>
          <w:szCs w:val="20"/>
        </w:rPr>
        <w:t>/1 o výměře</w:t>
      </w:r>
      <w:r w:rsidRPr="00F7163E">
        <w:rPr>
          <w:rFonts w:ascii="Verdana" w:hAnsi="Verdana"/>
          <w:sz w:val="20"/>
          <w:szCs w:val="20"/>
        </w:rPr>
        <w:t xml:space="preserve"> </w:t>
      </w:r>
      <w:r>
        <w:rPr>
          <w:rFonts w:ascii="Verdana" w:hAnsi="Verdana"/>
          <w:sz w:val="20"/>
          <w:szCs w:val="20"/>
        </w:rPr>
        <w:t xml:space="preserve">812 </w:t>
      </w:r>
      <w:r w:rsidRPr="00F7163E">
        <w:rPr>
          <w:rFonts w:ascii="Verdana" w:hAnsi="Verdana"/>
          <w:sz w:val="20"/>
          <w:szCs w:val="20"/>
        </w:rPr>
        <w:t>m</w:t>
      </w:r>
      <w:r w:rsidRPr="00832BFF">
        <w:rPr>
          <w:rFonts w:ascii="Verdana" w:hAnsi="Verdana"/>
          <w:sz w:val="20"/>
          <w:szCs w:val="20"/>
          <w:vertAlign w:val="superscript"/>
        </w:rPr>
        <w:t>2</w:t>
      </w:r>
      <w:r w:rsidRPr="00F7163E">
        <w:rPr>
          <w:rFonts w:ascii="Verdana" w:hAnsi="Verdana"/>
          <w:sz w:val="20"/>
          <w:szCs w:val="20"/>
        </w:rPr>
        <w:t xml:space="preserve"> (dle geometrického plánu </w:t>
      </w:r>
      <w:r>
        <w:rPr>
          <w:rFonts w:ascii="Verdana" w:hAnsi="Verdana"/>
          <w:sz w:val="20"/>
          <w:szCs w:val="20"/>
        </w:rPr>
        <w:br/>
      </w:r>
      <w:r w:rsidRPr="00F7163E">
        <w:rPr>
          <w:rFonts w:ascii="Verdana" w:hAnsi="Verdana"/>
          <w:sz w:val="20"/>
          <w:szCs w:val="20"/>
        </w:rPr>
        <w:t>č. 1</w:t>
      </w:r>
      <w:r>
        <w:rPr>
          <w:rFonts w:ascii="Verdana" w:hAnsi="Verdana"/>
          <w:sz w:val="20"/>
          <w:szCs w:val="20"/>
        </w:rPr>
        <w:t>95</w:t>
      </w:r>
      <w:r w:rsidRPr="00F7163E">
        <w:rPr>
          <w:rFonts w:ascii="Verdana" w:hAnsi="Verdana"/>
          <w:sz w:val="20"/>
          <w:szCs w:val="20"/>
        </w:rPr>
        <w:t>-1</w:t>
      </w:r>
      <w:r>
        <w:rPr>
          <w:rFonts w:ascii="Verdana" w:hAnsi="Verdana"/>
          <w:sz w:val="20"/>
          <w:szCs w:val="20"/>
        </w:rPr>
        <w:t>66</w:t>
      </w:r>
      <w:r w:rsidRPr="00F7163E">
        <w:rPr>
          <w:rFonts w:ascii="Verdana" w:hAnsi="Verdana"/>
          <w:sz w:val="20"/>
          <w:szCs w:val="20"/>
        </w:rPr>
        <w:t>/201</w:t>
      </w:r>
      <w:r>
        <w:rPr>
          <w:rFonts w:ascii="Verdana" w:hAnsi="Verdana"/>
          <w:sz w:val="20"/>
          <w:szCs w:val="20"/>
        </w:rPr>
        <w:t>9</w:t>
      </w:r>
      <w:r w:rsidRPr="00F7163E">
        <w:rPr>
          <w:rFonts w:ascii="Verdana" w:hAnsi="Verdana"/>
          <w:sz w:val="20"/>
          <w:szCs w:val="20"/>
        </w:rPr>
        <w:t xml:space="preserve"> pozem</w:t>
      </w:r>
      <w:r>
        <w:rPr>
          <w:rFonts w:ascii="Verdana" w:hAnsi="Verdana"/>
          <w:sz w:val="20"/>
          <w:szCs w:val="20"/>
        </w:rPr>
        <w:t>e</w:t>
      </w:r>
      <w:r w:rsidRPr="00F7163E">
        <w:rPr>
          <w:rFonts w:ascii="Verdana" w:hAnsi="Verdana"/>
          <w:sz w:val="20"/>
          <w:szCs w:val="20"/>
        </w:rPr>
        <w:t>k p.</w:t>
      </w:r>
      <w:r>
        <w:rPr>
          <w:rFonts w:ascii="Verdana" w:hAnsi="Verdana"/>
          <w:sz w:val="20"/>
          <w:szCs w:val="20"/>
        </w:rPr>
        <w:t xml:space="preserve"> </w:t>
      </w:r>
      <w:r w:rsidRPr="00F7163E">
        <w:rPr>
          <w:rFonts w:ascii="Verdana" w:hAnsi="Verdana"/>
          <w:sz w:val="20"/>
          <w:szCs w:val="20"/>
        </w:rPr>
        <w:t xml:space="preserve">č. </w:t>
      </w:r>
      <w:r>
        <w:rPr>
          <w:rFonts w:ascii="Verdana" w:hAnsi="Verdana"/>
          <w:sz w:val="20"/>
          <w:szCs w:val="20"/>
        </w:rPr>
        <w:t xml:space="preserve">127/5) </w:t>
      </w:r>
      <w:r w:rsidRPr="00F7163E">
        <w:rPr>
          <w:rFonts w:ascii="Verdana" w:hAnsi="Verdana"/>
          <w:sz w:val="20"/>
          <w:szCs w:val="20"/>
        </w:rPr>
        <w:t>v k.</w:t>
      </w:r>
      <w:r>
        <w:rPr>
          <w:rFonts w:ascii="Verdana" w:hAnsi="Verdana"/>
          <w:sz w:val="20"/>
          <w:szCs w:val="20"/>
        </w:rPr>
        <w:t xml:space="preserve"> </w:t>
      </w:r>
      <w:proofErr w:type="spellStart"/>
      <w:r w:rsidRPr="00F7163E">
        <w:rPr>
          <w:rFonts w:ascii="Verdana" w:hAnsi="Verdana"/>
          <w:sz w:val="20"/>
          <w:szCs w:val="20"/>
        </w:rPr>
        <w:t>ú.</w:t>
      </w:r>
      <w:proofErr w:type="spellEnd"/>
      <w:r w:rsidRPr="00F7163E">
        <w:rPr>
          <w:rFonts w:ascii="Verdana" w:hAnsi="Verdana"/>
          <w:sz w:val="20"/>
          <w:szCs w:val="20"/>
        </w:rPr>
        <w:t xml:space="preserve"> </w:t>
      </w:r>
      <w:proofErr w:type="spellStart"/>
      <w:r>
        <w:rPr>
          <w:rFonts w:ascii="Verdana" w:hAnsi="Verdana"/>
          <w:sz w:val="20"/>
          <w:szCs w:val="20"/>
        </w:rPr>
        <w:t>Neškaredice</w:t>
      </w:r>
      <w:proofErr w:type="spellEnd"/>
      <w:r>
        <w:rPr>
          <w:rFonts w:ascii="Verdana" w:hAnsi="Verdana"/>
          <w:sz w:val="20"/>
          <w:szCs w:val="20"/>
        </w:rPr>
        <w:t>.</w:t>
      </w:r>
    </w:p>
    <w:p w:rsidR="00B8779D" w:rsidRDefault="00B8779D" w:rsidP="00B8779D">
      <w:pPr>
        <w:jc w:val="both"/>
        <w:rPr>
          <w:rFonts w:ascii="Verdana" w:hAnsi="Verdana"/>
          <w:sz w:val="20"/>
          <w:szCs w:val="20"/>
        </w:rPr>
      </w:pPr>
    </w:p>
    <w:p w:rsidR="00B8779D" w:rsidRDefault="00B8779D" w:rsidP="00B8779D">
      <w:pPr>
        <w:pStyle w:val="Bezmezer"/>
        <w:rPr>
          <w:b/>
          <w:szCs w:val="20"/>
        </w:rPr>
      </w:pPr>
      <w:r>
        <w:rPr>
          <w:b/>
          <w:szCs w:val="20"/>
        </w:rPr>
        <w:t xml:space="preserve">3/07  </w:t>
      </w:r>
      <w:r w:rsidRPr="00E727D2">
        <w:rPr>
          <w:b/>
          <w:szCs w:val="20"/>
        </w:rPr>
        <w:t xml:space="preserve">Prodej části pozemku v k. </w:t>
      </w:r>
      <w:proofErr w:type="spellStart"/>
      <w:r w:rsidRPr="00E727D2">
        <w:rPr>
          <w:b/>
          <w:szCs w:val="20"/>
        </w:rPr>
        <w:t>ú.</w:t>
      </w:r>
      <w:proofErr w:type="spellEnd"/>
      <w:r w:rsidRPr="00E727D2">
        <w:rPr>
          <w:b/>
          <w:szCs w:val="20"/>
        </w:rPr>
        <w:t xml:space="preserve"> KH (Mgr. Kadlec)</w:t>
      </w:r>
    </w:p>
    <w:p w:rsidR="00B8779D" w:rsidRDefault="00B8779D" w:rsidP="00B8779D">
      <w:pPr>
        <w:pStyle w:val="Bezmezer"/>
        <w:rPr>
          <w:bCs/>
          <w:szCs w:val="20"/>
        </w:rPr>
      </w:pPr>
      <w:r w:rsidRPr="00007541">
        <w:rPr>
          <w:bCs/>
          <w:szCs w:val="20"/>
        </w:rPr>
        <w:t>Pan Kadlec požádal o koupi části pozemku p. č.  4284/1 o výměře cca 12 m</w:t>
      </w:r>
      <w:r w:rsidRPr="00007541">
        <w:rPr>
          <w:bCs/>
          <w:szCs w:val="20"/>
          <w:vertAlign w:val="superscript"/>
        </w:rPr>
        <w:t>2</w:t>
      </w:r>
      <w:r w:rsidRPr="00007541">
        <w:rPr>
          <w:bCs/>
          <w:szCs w:val="20"/>
        </w:rPr>
        <w:t xml:space="preserve"> v k. </w:t>
      </w:r>
      <w:proofErr w:type="spellStart"/>
      <w:r w:rsidRPr="00007541">
        <w:rPr>
          <w:bCs/>
          <w:szCs w:val="20"/>
        </w:rPr>
        <w:t>ú.</w:t>
      </w:r>
      <w:proofErr w:type="spellEnd"/>
      <w:r w:rsidRPr="00007541">
        <w:rPr>
          <w:bCs/>
          <w:szCs w:val="20"/>
        </w:rPr>
        <w:t xml:space="preserve"> Kutná Hora. Je</w:t>
      </w:r>
      <w:r>
        <w:rPr>
          <w:bCs/>
          <w:szCs w:val="20"/>
        </w:rPr>
        <w:t>dná se o část pozemku, na které</w:t>
      </w:r>
      <w:r w:rsidRPr="00007541">
        <w:rPr>
          <w:bCs/>
          <w:szCs w:val="20"/>
        </w:rPr>
        <w:t xml:space="preserve"> stojí zděná terasa navazující na byt v</w:t>
      </w:r>
      <w:r>
        <w:rPr>
          <w:bCs/>
          <w:szCs w:val="20"/>
        </w:rPr>
        <w:t> </w:t>
      </w:r>
      <w:r w:rsidRPr="00007541">
        <w:rPr>
          <w:bCs/>
          <w:szCs w:val="20"/>
        </w:rPr>
        <w:t>jeho vlastnictví.</w:t>
      </w:r>
    </w:p>
    <w:p w:rsidR="00B8779D" w:rsidRDefault="00B8779D" w:rsidP="00B8779D">
      <w:pPr>
        <w:pStyle w:val="Bezmezer"/>
        <w:rPr>
          <w:b/>
          <w:szCs w:val="20"/>
        </w:rPr>
      </w:pPr>
    </w:p>
    <w:p w:rsidR="00B8779D" w:rsidRPr="00652562" w:rsidRDefault="00B8779D" w:rsidP="00B8779D">
      <w:pPr>
        <w:pStyle w:val="Bezmezer"/>
        <w:rPr>
          <w:b/>
          <w:szCs w:val="20"/>
        </w:rPr>
      </w:pPr>
      <w:r w:rsidRPr="00652562">
        <w:rPr>
          <w:b/>
          <w:szCs w:val="20"/>
        </w:rPr>
        <w:t>3/08  Prodej částí pozemků v </w:t>
      </w:r>
      <w:proofErr w:type="spellStart"/>
      <w:proofErr w:type="gramStart"/>
      <w:r w:rsidRPr="00652562">
        <w:rPr>
          <w:b/>
          <w:szCs w:val="20"/>
        </w:rPr>
        <w:t>K.Hoře</w:t>
      </w:r>
      <w:proofErr w:type="spellEnd"/>
      <w:proofErr w:type="gramEnd"/>
      <w:r w:rsidRPr="00652562">
        <w:rPr>
          <w:b/>
          <w:szCs w:val="20"/>
        </w:rPr>
        <w:t xml:space="preserve"> (Kutnohorská stavební s.r.o.)</w:t>
      </w:r>
    </w:p>
    <w:p w:rsidR="00B8779D" w:rsidRPr="00652562" w:rsidRDefault="00B8779D" w:rsidP="00B8779D">
      <w:pPr>
        <w:pStyle w:val="Bezmezer"/>
        <w:rPr>
          <w:szCs w:val="20"/>
        </w:rPr>
      </w:pPr>
      <w:r w:rsidRPr="00652562">
        <w:rPr>
          <w:szCs w:val="20"/>
        </w:rPr>
        <w:t xml:space="preserve">Společnost Kutnohorská stavební s.r.o. požádala město o prodej částí pozemků </w:t>
      </w:r>
      <w:r w:rsidRPr="00652562">
        <w:rPr>
          <w:szCs w:val="20"/>
        </w:rPr>
        <w:br/>
        <w:t xml:space="preserve">p. č. 3647 a p. č. 3646/1 (celkem cca 54 m2) v k. </w:t>
      </w:r>
      <w:proofErr w:type="spellStart"/>
      <w:r w:rsidRPr="00652562">
        <w:rPr>
          <w:szCs w:val="20"/>
        </w:rPr>
        <w:t>ú.</w:t>
      </w:r>
      <w:proofErr w:type="spellEnd"/>
      <w:r w:rsidRPr="00652562">
        <w:rPr>
          <w:szCs w:val="20"/>
        </w:rPr>
        <w:t xml:space="preserve"> Kutná Hora. Žadatel rekonstruuje dům čp. 71 Táborská a žádá o koupi částí sousedních pozemků za účelem zřízení přístupu do budovaných bezbariérových bytů.</w:t>
      </w:r>
    </w:p>
    <w:p w:rsidR="00B8779D" w:rsidRPr="00652562" w:rsidRDefault="00B8779D" w:rsidP="00B8779D">
      <w:pPr>
        <w:pStyle w:val="Bezmezer"/>
        <w:rPr>
          <w:szCs w:val="20"/>
        </w:rPr>
      </w:pPr>
    </w:p>
    <w:p w:rsidR="00B8779D" w:rsidRPr="00652562" w:rsidRDefault="00B8779D" w:rsidP="00B8779D">
      <w:pPr>
        <w:pStyle w:val="Bezmezer"/>
        <w:rPr>
          <w:b/>
          <w:szCs w:val="20"/>
        </w:rPr>
      </w:pPr>
      <w:r w:rsidRPr="00652562">
        <w:rPr>
          <w:b/>
          <w:szCs w:val="20"/>
        </w:rPr>
        <w:t>3/09</w:t>
      </w:r>
      <w:r w:rsidRPr="00652562">
        <w:rPr>
          <w:szCs w:val="20"/>
        </w:rPr>
        <w:t xml:space="preserve">  </w:t>
      </w:r>
      <w:r w:rsidRPr="00652562">
        <w:rPr>
          <w:b/>
          <w:szCs w:val="20"/>
        </w:rPr>
        <w:t xml:space="preserve">Prodej </w:t>
      </w:r>
      <w:proofErr w:type="spellStart"/>
      <w:r w:rsidRPr="00652562">
        <w:rPr>
          <w:b/>
          <w:szCs w:val="20"/>
        </w:rPr>
        <w:t>spoluvlast</w:t>
      </w:r>
      <w:proofErr w:type="spellEnd"/>
      <w:r w:rsidRPr="00652562">
        <w:rPr>
          <w:b/>
          <w:szCs w:val="20"/>
        </w:rPr>
        <w:t>. podílu na pozemku v </w:t>
      </w:r>
      <w:proofErr w:type="spellStart"/>
      <w:proofErr w:type="gramStart"/>
      <w:r w:rsidRPr="00652562">
        <w:rPr>
          <w:b/>
          <w:szCs w:val="20"/>
        </w:rPr>
        <w:t>k.ú</w:t>
      </w:r>
      <w:proofErr w:type="spellEnd"/>
      <w:r w:rsidRPr="00652562">
        <w:rPr>
          <w:b/>
          <w:szCs w:val="20"/>
        </w:rPr>
        <w:t>.</w:t>
      </w:r>
      <w:proofErr w:type="gramEnd"/>
      <w:r w:rsidRPr="00652562">
        <w:rPr>
          <w:b/>
          <w:szCs w:val="20"/>
        </w:rPr>
        <w:t xml:space="preserve"> Kutná </w:t>
      </w:r>
      <w:r>
        <w:rPr>
          <w:b/>
          <w:szCs w:val="20"/>
        </w:rPr>
        <w:t>Hora (</w:t>
      </w:r>
      <w:proofErr w:type="spellStart"/>
      <w:r>
        <w:rPr>
          <w:b/>
          <w:szCs w:val="20"/>
        </w:rPr>
        <w:t>manž.</w:t>
      </w:r>
      <w:r w:rsidRPr="00652562">
        <w:rPr>
          <w:b/>
          <w:szCs w:val="20"/>
        </w:rPr>
        <w:t>Mandíkovi</w:t>
      </w:r>
      <w:proofErr w:type="spellEnd"/>
      <w:r w:rsidRPr="00652562">
        <w:rPr>
          <w:b/>
          <w:szCs w:val="20"/>
        </w:rPr>
        <w:t>)</w:t>
      </w:r>
    </w:p>
    <w:p w:rsidR="00B8779D" w:rsidRDefault="00B8779D" w:rsidP="00B8779D">
      <w:pPr>
        <w:pStyle w:val="Bezmezer"/>
        <w:rPr>
          <w:szCs w:val="20"/>
        </w:rPr>
      </w:pPr>
      <w:r w:rsidRPr="00652562">
        <w:rPr>
          <w:szCs w:val="20"/>
        </w:rPr>
        <w:t xml:space="preserve">Manželé Mandíkovi požádali o koupi spoluvlastnického podílu města (id. 1/2) na pozemku p. č. 4094/5 v k. </w:t>
      </w:r>
      <w:proofErr w:type="spellStart"/>
      <w:r w:rsidRPr="00652562">
        <w:rPr>
          <w:szCs w:val="20"/>
        </w:rPr>
        <w:t>ú.</w:t>
      </w:r>
      <w:proofErr w:type="spellEnd"/>
      <w:r w:rsidRPr="00652562">
        <w:rPr>
          <w:szCs w:val="20"/>
        </w:rPr>
        <w:t xml:space="preserve"> Kutná Hora za účelem rozšíření své zahrady a vysázení okrasné zeleně. </w:t>
      </w:r>
    </w:p>
    <w:p w:rsidR="00B8779D" w:rsidRPr="00652562" w:rsidRDefault="00B8779D" w:rsidP="00B8779D">
      <w:pPr>
        <w:pStyle w:val="Bezmezer"/>
        <w:rPr>
          <w:szCs w:val="20"/>
        </w:rPr>
      </w:pPr>
    </w:p>
    <w:p w:rsidR="00B8779D" w:rsidRDefault="00B8779D" w:rsidP="00B8779D">
      <w:pPr>
        <w:contextualSpacing/>
        <w:jc w:val="both"/>
        <w:rPr>
          <w:rFonts w:ascii="Verdana" w:hAnsi="Verdana"/>
          <w:sz w:val="20"/>
          <w:szCs w:val="20"/>
        </w:rPr>
      </w:pPr>
      <w:r>
        <w:rPr>
          <w:rFonts w:ascii="Verdana" w:hAnsi="Verdana"/>
          <w:b/>
          <w:sz w:val="20"/>
          <w:szCs w:val="20"/>
        </w:rPr>
        <w:t>3/10</w:t>
      </w:r>
      <w:r w:rsidRPr="00096030">
        <w:t xml:space="preserve"> </w:t>
      </w:r>
      <w:r>
        <w:rPr>
          <w:rFonts w:ascii="Verdana" w:hAnsi="Verdana"/>
          <w:b/>
          <w:sz w:val="20"/>
          <w:szCs w:val="20"/>
        </w:rPr>
        <w:t xml:space="preserve"> </w:t>
      </w:r>
      <w:r w:rsidRPr="00E727D2">
        <w:rPr>
          <w:rFonts w:ascii="Verdana" w:hAnsi="Verdana"/>
          <w:b/>
          <w:sz w:val="20"/>
          <w:szCs w:val="20"/>
        </w:rPr>
        <w:t xml:space="preserve">Prodej části pozemku v k. </w:t>
      </w:r>
      <w:proofErr w:type="spellStart"/>
      <w:r w:rsidRPr="00E727D2">
        <w:rPr>
          <w:rFonts w:ascii="Verdana" w:hAnsi="Verdana"/>
          <w:b/>
          <w:sz w:val="20"/>
          <w:szCs w:val="20"/>
        </w:rPr>
        <w:t>ú.</w:t>
      </w:r>
      <w:proofErr w:type="spellEnd"/>
      <w:r w:rsidRPr="00E727D2">
        <w:rPr>
          <w:rFonts w:ascii="Verdana" w:hAnsi="Verdana"/>
          <w:b/>
          <w:sz w:val="20"/>
          <w:szCs w:val="20"/>
        </w:rPr>
        <w:t xml:space="preserve"> Opatovice I. (pí Marková)</w:t>
      </w:r>
      <w:r w:rsidRPr="007F49E6">
        <w:rPr>
          <w:rFonts w:ascii="Verdana" w:hAnsi="Verdana"/>
          <w:sz w:val="20"/>
          <w:szCs w:val="20"/>
        </w:rPr>
        <w:t xml:space="preserve"> </w:t>
      </w:r>
    </w:p>
    <w:p w:rsidR="00B8779D" w:rsidRPr="00B8779D" w:rsidRDefault="00B8779D" w:rsidP="00B8779D">
      <w:pPr>
        <w:contextualSpacing/>
        <w:jc w:val="both"/>
        <w:rPr>
          <w:rFonts w:ascii="Verdana" w:hAnsi="Verdana"/>
          <w:sz w:val="20"/>
          <w:szCs w:val="20"/>
        </w:rPr>
      </w:pPr>
      <w:r>
        <w:rPr>
          <w:rFonts w:ascii="Verdana" w:hAnsi="Verdana"/>
          <w:sz w:val="20"/>
          <w:szCs w:val="20"/>
        </w:rPr>
        <w:t>P</w:t>
      </w:r>
      <w:r w:rsidRPr="0071104B">
        <w:rPr>
          <w:rFonts w:ascii="Verdana" w:hAnsi="Verdana"/>
          <w:sz w:val="20"/>
          <w:szCs w:val="20"/>
        </w:rPr>
        <w:t>an</w:t>
      </w:r>
      <w:r>
        <w:rPr>
          <w:rFonts w:ascii="Verdana" w:hAnsi="Verdana"/>
          <w:sz w:val="20"/>
          <w:szCs w:val="20"/>
        </w:rPr>
        <w:t>í</w:t>
      </w:r>
      <w:r w:rsidRPr="0071104B">
        <w:rPr>
          <w:rFonts w:ascii="Verdana" w:hAnsi="Verdana"/>
          <w:sz w:val="20"/>
          <w:szCs w:val="20"/>
        </w:rPr>
        <w:t xml:space="preserve"> </w:t>
      </w:r>
      <w:r>
        <w:rPr>
          <w:rFonts w:ascii="Verdana" w:hAnsi="Verdana"/>
          <w:sz w:val="20"/>
          <w:szCs w:val="20"/>
        </w:rPr>
        <w:t>Marková</w:t>
      </w:r>
      <w:r w:rsidRPr="0071104B">
        <w:rPr>
          <w:rFonts w:ascii="Verdana" w:hAnsi="Verdana"/>
          <w:sz w:val="20"/>
          <w:szCs w:val="20"/>
        </w:rPr>
        <w:t xml:space="preserve"> </w:t>
      </w:r>
      <w:r>
        <w:rPr>
          <w:rFonts w:ascii="Verdana" w:hAnsi="Verdana"/>
          <w:sz w:val="20"/>
          <w:szCs w:val="20"/>
        </w:rPr>
        <w:t xml:space="preserve">požádala o koupi části pozemku </w:t>
      </w:r>
      <w:r w:rsidRPr="00D0086A">
        <w:rPr>
          <w:rFonts w:ascii="Verdana" w:hAnsi="Verdana"/>
          <w:sz w:val="20"/>
          <w:szCs w:val="20"/>
        </w:rPr>
        <w:t xml:space="preserve">p. č. 1066 (lesní pozemek) o výměře </w:t>
      </w:r>
      <w:r>
        <w:rPr>
          <w:rFonts w:ascii="Verdana" w:hAnsi="Verdana"/>
          <w:sz w:val="20"/>
          <w:szCs w:val="20"/>
        </w:rPr>
        <w:br/>
      </w:r>
      <w:r w:rsidRPr="00D0086A">
        <w:rPr>
          <w:rFonts w:ascii="Verdana" w:hAnsi="Verdana"/>
          <w:sz w:val="20"/>
          <w:szCs w:val="20"/>
        </w:rPr>
        <w:t>cca 500 m</w:t>
      </w:r>
      <w:r w:rsidRPr="00D0086A">
        <w:rPr>
          <w:rFonts w:ascii="Verdana" w:hAnsi="Verdana"/>
          <w:sz w:val="20"/>
          <w:szCs w:val="20"/>
          <w:vertAlign w:val="superscript"/>
        </w:rPr>
        <w:t>2</w:t>
      </w:r>
      <w:r w:rsidRPr="00D0086A">
        <w:rPr>
          <w:rFonts w:ascii="Verdana" w:hAnsi="Verdana"/>
          <w:sz w:val="20"/>
          <w:szCs w:val="20"/>
        </w:rPr>
        <w:t xml:space="preserve"> v k. </w:t>
      </w:r>
      <w:proofErr w:type="spellStart"/>
      <w:r w:rsidRPr="00D0086A">
        <w:rPr>
          <w:rFonts w:ascii="Verdana" w:hAnsi="Verdana"/>
          <w:sz w:val="20"/>
          <w:szCs w:val="20"/>
        </w:rPr>
        <w:t>ú.</w:t>
      </w:r>
      <w:proofErr w:type="spellEnd"/>
      <w:r w:rsidRPr="00D0086A">
        <w:rPr>
          <w:rFonts w:ascii="Verdana" w:hAnsi="Verdana"/>
          <w:sz w:val="20"/>
          <w:szCs w:val="20"/>
        </w:rPr>
        <w:t xml:space="preserve"> Opatovice I. Žadatelka je vlastníkem sousední</w:t>
      </w:r>
      <w:r>
        <w:rPr>
          <w:rFonts w:ascii="Verdana" w:hAnsi="Verdana"/>
          <w:sz w:val="20"/>
          <w:szCs w:val="20"/>
        </w:rPr>
        <w:t>c</w:t>
      </w:r>
      <w:r w:rsidRPr="00D0086A">
        <w:rPr>
          <w:rFonts w:ascii="Verdana" w:hAnsi="Verdana"/>
          <w:sz w:val="20"/>
          <w:szCs w:val="20"/>
        </w:rPr>
        <w:t xml:space="preserve">h </w:t>
      </w:r>
      <w:r>
        <w:rPr>
          <w:rFonts w:ascii="Verdana" w:hAnsi="Verdana"/>
          <w:sz w:val="20"/>
          <w:szCs w:val="20"/>
        </w:rPr>
        <w:t>nemovitostí.</w:t>
      </w:r>
    </w:p>
    <w:p w:rsidR="00B8779D" w:rsidRDefault="00B8779D" w:rsidP="00B8779D">
      <w:pPr>
        <w:contextualSpacing/>
        <w:jc w:val="both"/>
        <w:rPr>
          <w:rFonts w:ascii="Verdana" w:hAnsi="Verdana"/>
          <w:b/>
          <w:sz w:val="20"/>
          <w:szCs w:val="20"/>
        </w:rPr>
      </w:pPr>
    </w:p>
    <w:p w:rsidR="00B8779D" w:rsidRDefault="00B8779D" w:rsidP="00B8779D">
      <w:pPr>
        <w:contextualSpacing/>
        <w:jc w:val="both"/>
        <w:rPr>
          <w:rFonts w:ascii="Verdana" w:hAnsi="Verdana"/>
          <w:sz w:val="20"/>
          <w:szCs w:val="20"/>
        </w:rPr>
      </w:pPr>
      <w:r>
        <w:rPr>
          <w:rFonts w:ascii="Verdana" w:hAnsi="Verdana"/>
          <w:b/>
          <w:sz w:val="20"/>
          <w:szCs w:val="20"/>
        </w:rPr>
        <w:t xml:space="preserve">3/11 </w:t>
      </w:r>
      <w:r w:rsidRPr="00E727D2">
        <w:rPr>
          <w:rFonts w:ascii="Verdana" w:hAnsi="Verdana"/>
          <w:b/>
          <w:sz w:val="20"/>
          <w:szCs w:val="20"/>
        </w:rPr>
        <w:t xml:space="preserve">Prodej části pozemku v k. </w:t>
      </w:r>
      <w:proofErr w:type="spellStart"/>
      <w:r w:rsidRPr="00E727D2">
        <w:rPr>
          <w:rFonts w:ascii="Verdana" w:hAnsi="Verdana"/>
          <w:b/>
          <w:sz w:val="20"/>
          <w:szCs w:val="20"/>
        </w:rPr>
        <w:t>ú.</w:t>
      </w:r>
      <w:proofErr w:type="spellEnd"/>
      <w:r w:rsidRPr="00E727D2">
        <w:rPr>
          <w:rFonts w:ascii="Verdana" w:hAnsi="Verdana"/>
          <w:b/>
          <w:sz w:val="20"/>
          <w:szCs w:val="20"/>
        </w:rPr>
        <w:t xml:space="preserve"> Zdeslavice u ČJ (p. Víta)</w:t>
      </w:r>
      <w:r w:rsidRPr="007F49E6">
        <w:rPr>
          <w:rFonts w:ascii="Verdana" w:hAnsi="Verdana"/>
          <w:sz w:val="20"/>
          <w:szCs w:val="20"/>
        </w:rPr>
        <w:t xml:space="preserve"> </w:t>
      </w:r>
    </w:p>
    <w:p w:rsidR="00B8779D" w:rsidRDefault="00B8779D" w:rsidP="00B8779D">
      <w:pPr>
        <w:contextualSpacing/>
        <w:jc w:val="both"/>
        <w:rPr>
          <w:rFonts w:ascii="Verdana" w:hAnsi="Verdana"/>
          <w:sz w:val="20"/>
          <w:szCs w:val="20"/>
        </w:rPr>
      </w:pPr>
      <w:r>
        <w:rPr>
          <w:rFonts w:ascii="Verdana" w:hAnsi="Verdana"/>
          <w:sz w:val="20"/>
          <w:szCs w:val="20"/>
        </w:rPr>
        <w:t>P</w:t>
      </w:r>
      <w:r w:rsidRPr="0071104B">
        <w:rPr>
          <w:rFonts w:ascii="Verdana" w:hAnsi="Verdana"/>
          <w:sz w:val="20"/>
          <w:szCs w:val="20"/>
        </w:rPr>
        <w:t xml:space="preserve">an </w:t>
      </w:r>
      <w:r>
        <w:rPr>
          <w:rFonts w:ascii="Verdana" w:hAnsi="Verdana"/>
          <w:sz w:val="20"/>
          <w:szCs w:val="20"/>
        </w:rPr>
        <w:t>Víta</w:t>
      </w:r>
      <w:r w:rsidRPr="0071104B">
        <w:rPr>
          <w:rFonts w:ascii="Verdana" w:hAnsi="Verdana"/>
          <w:sz w:val="20"/>
          <w:szCs w:val="20"/>
        </w:rPr>
        <w:t xml:space="preserve"> </w:t>
      </w:r>
      <w:r>
        <w:rPr>
          <w:rFonts w:ascii="Verdana" w:hAnsi="Verdana"/>
          <w:sz w:val="20"/>
          <w:szCs w:val="20"/>
        </w:rPr>
        <w:t xml:space="preserve">požádal o koupi části pozemku </w:t>
      </w:r>
      <w:r w:rsidRPr="007412FC">
        <w:rPr>
          <w:rFonts w:ascii="Verdana" w:hAnsi="Verdana"/>
          <w:sz w:val="20"/>
          <w:szCs w:val="20"/>
        </w:rPr>
        <w:t>p. č. 587 o výměře cca 190 m</w:t>
      </w:r>
      <w:r w:rsidRPr="007412FC">
        <w:rPr>
          <w:rFonts w:ascii="Verdana" w:hAnsi="Verdana"/>
          <w:sz w:val="20"/>
          <w:szCs w:val="20"/>
          <w:vertAlign w:val="superscript"/>
        </w:rPr>
        <w:t>2</w:t>
      </w:r>
      <w:r w:rsidRPr="007412FC">
        <w:rPr>
          <w:rFonts w:ascii="Verdana" w:hAnsi="Verdana"/>
          <w:sz w:val="20"/>
          <w:szCs w:val="20"/>
        </w:rPr>
        <w:t xml:space="preserve"> v k. </w:t>
      </w:r>
      <w:proofErr w:type="spellStart"/>
      <w:r w:rsidRPr="007412FC">
        <w:rPr>
          <w:rFonts w:ascii="Verdana" w:hAnsi="Verdana"/>
          <w:sz w:val="20"/>
          <w:szCs w:val="20"/>
        </w:rPr>
        <w:t>ú.</w:t>
      </w:r>
      <w:proofErr w:type="spellEnd"/>
      <w:r w:rsidRPr="007412FC">
        <w:rPr>
          <w:rFonts w:ascii="Verdana" w:hAnsi="Verdana"/>
          <w:sz w:val="20"/>
          <w:szCs w:val="20"/>
        </w:rPr>
        <w:t xml:space="preserve"> Zdeslavice u </w:t>
      </w:r>
      <w:proofErr w:type="gramStart"/>
      <w:r w:rsidRPr="007412FC">
        <w:rPr>
          <w:rFonts w:ascii="Verdana" w:hAnsi="Verdana"/>
          <w:sz w:val="20"/>
          <w:szCs w:val="20"/>
        </w:rPr>
        <w:t>Černín</w:t>
      </w:r>
      <w:proofErr w:type="gramEnd"/>
      <w:r w:rsidRPr="007412FC">
        <w:rPr>
          <w:rFonts w:ascii="Verdana" w:hAnsi="Verdana"/>
          <w:sz w:val="20"/>
          <w:szCs w:val="20"/>
        </w:rPr>
        <w:t>. Žadatel je vlastníkem sousední</w:t>
      </w:r>
      <w:r>
        <w:rPr>
          <w:rFonts w:ascii="Verdana" w:hAnsi="Verdana"/>
          <w:sz w:val="20"/>
          <w:szCs w:val="20"/>
        </w:rPr>
        <w:t>ch</w:t>
      </w:r>
      <w:r w:rsidRPr="007412FC">
        <w:rPr>
          <w:rFonts w:ascii="Verdana" w:hAnsi="Verdana"/>
          <w:sz w:val="20"/>
          <w:szCs w:val="20"/>
        </w:rPr>
        <w:t xml:space="preserve"> </w:t>
      </w:r>
      <w:r>
        <w:rPr>
          <w:rFonts w:ascii="Verdana" w:hAnsi="Verdana"/>
          <w:sz w:val="20"/>
          <w:szCs w:val="20"/>
        </w:rPr>
        <w:t>nemovitostí.</w:t>
      </w:r>
    </w:p>
    <w:p w:rsidR="00B8779D" w:rsidRDefault="00B8779D" w:rsidP="00B8779D">
      <w:pPr>
        <w:contextualSpacing/>
        <w:jc w:val="both"/>
        <w:rPr>
          <w:rFonts w:ascii="Verdana" w:hAnsi="Verdana"/>
          <w:b/>
          <w:sz w:val="20"/>
          <w:szCs w:val="20"/>
        </w:rPr>
      </w:pPr>
    </w:p>
    <w:p w:rsidR="00B8779D" w:rsidRDefault="00B8779D" w:rsidP="00B8779D">
      <w:pPr>
        <w:contextualSpacing/>
        <w:jc w:val="both"/>
        <w:rPr>
          <w:rFonts w:ascii="Verdana" w:hAnsi="Verdana"/>
          <w:b/>
          <w:sz w:val="20"/>
          <w:szCs w:val="20"/>
        </w:rPr>
      </w:pPr>
      <w:r>
        <w:rPr>
          <w:rFonts w:ascii="Verdana" w:hAnsi="Verdana"/>
          <w:b/>
          <w:sz w:val="20"/>
          <w:szCs w:val="20"/>
        </w:rPr>
        <w:t xml:space="preserve">3/12 </w:t>
      </w:r>
      <w:r w:rsidRPr="00E727D2">
        <w:rPr>
          <w:rFonts w:ascii="Verdana" w:hAnsi="Verdana"/>
          <w:b/>
          <w:sz w:val="20"/>
          <w:szCs w:val="20"/>
        </w:rPr>
        <w:t xml:space="preserve">Prodej objektu čp. 321, Jungmannovo nám., KH -p. </w:t>
      </w:r>
      <w:proofErr w:type="spellStart"/>
      <w:r w:rsidRPr="00E727D2">
        <w:rPr>
          <w:rFonts w:ascii="Verdana" w:hAnsi="Verdana"/>
          <w:b/>
          <w:sz w:val="20"/>
          <w:szCs w:val="20"/>
        </w:rPr>
        <w:t>Kunčák</w:t>
      </w:r>
      <w:proofErr w:type="spellEnd"/>
    </w:p>
    <w:p w:rsidR="00B8779D" w:rsidRDefault="00B8779D" w:rsidP="00B8779D">
      <w:pPr>
        <w:contextualSpacing/>
        <w:jc w:val="both"/>
        <w:rPr>
          <w:rFonts w:ascii="Verdana" w:hAnsi="Verdana"/>
          <w:sz w:val="20"/>
          <w:szCs w:val="20"/>
        </w:rPr>
      </w:pPr>
      <w:r w:rsidRPr="00247FC5">
        <w:rPr>
          <w:rFonts w:ascii="Verdana" w:hAnsi="Verdana"/>
          <w:sz w:val="20"/>
          <w:szCs w:val="20"/>
        </w:rPr>
        <w:t xml:space="preserve">Pan </w:t>
      </w:r>
      <w:proofErr w:type="spellStart"/>
      <w:r w:rsidRPr="00247FC5">
        <w:rPr>
          <w:rFonts w:ascii="Verdana" w:hAnsi="Verdana"/>
          <w:sz w:val="20"/>
          <w:szCs w:val="20"/>
        </w:rPr>
        <w:t>Kunčák</w:t>
      </w:r>
      <w:proofErr w:type="spellEnd"/>
      <w:r w:rsidRPr="00247FC5">
        <w:rPr>
          <w:rFonts w:ascii="Verdana" w:hAnsi="Verdana"/>
          <w:sz w:val="20"/>
          <w:szCs w:val="20"/>
        </w:rPr>
        <w:t xml:space="preserve"> požádal o změnu nájemní smlouvy na nebytové prostory budovy č. p. 321, Jungmannovo náměstí, Kutná Hora, která je součástí pozemku p. č. 2825/3 </w:t>
      </w:r>
      <w:r>
        <w:rPr>
          <w:rFonts w:ascii="Verdana" w:hAnsi="Verdana"/>
          <w:sz w:val="20"/>
          <w:szCs w:val="20"/>
        </w:rPr>
        <w:br/>
      </w:r>
      <w:r w:rsidRPr="00247FC5">
        <w:rPr>
          <w:rFonts w:ascii="Verdana" w:hAnsi="Verdana"/>
          <w:sz w:val="20"/>
          <w:szCs w:val="20"/>
        </w:rPr>
        <w:t xml:space="preserve">v k. </w:t>
      </w:r>
      <w:proofErr w:type="spellStart"/>
      <w:r w:rsidRPr="00247FC5">
        <w:rPr>
          <w:rFonts w:ascii="Verdana" w:hAnsi="Verdana"/>
          <w:sz w:val="20"/>
          <w:szCs w:val="20"/>
        </w:rPr>
        <w:t>ú.</w:t>
      </w:r>
      <w:proofErr w:type="spellEnd"/>
      <w:r w:rsidRPr="00247FC5">
        <w:rPr>
          <w:rFonts w:ascii="Verdana" w:hAnsi="Verdana"/>
          <w:sz w:val="20"/>
          <w:szCs w:val="20"/>
        </w:rPr>
        <w:t xml:space="preserve"> Kutná Hora. Žadatelem navrhovaná změna nájemní smlouvy se ve skutečnosti týká převodu vlastnického práva (uzavření smlouvy o smlouvě budoucí kupní) na výše uvedenou nemovitost.</w:t>
      </w:r>
      <w:r>
        <w:rPr>
          <w:rFonts w:ascii="Verdana" w:hAnsi="Verdana"/>
          <w:sz w:val="20"/>
          <w:szCs w:val="20"/>
        </w:rPr>
        <w:t xml:space="preserve"> </w:t>
      </w:r>
      <w:r w:rsidRPr="00247FC5">
        <w:rPr>
          <w:rFonts w:ascii="Verdana" w:hAnsi="Verdana"/>
          <w:sz w:val="20"/>
          <w:szCs w:val="20"/>
        </w:rPr>
        <w:t xml:space="preserve">Žadatel v těchto prostorách provozuje penzion. </w:t>
      </w:r>
    </w:p>
    <w:p w:rsidR="00B8779D" w:rsidRDefault="00B8779D" w:rsidP="00B8779D">
      <w:pPr>
        <w:contextualSpacing/>
        <w:jc w:val="both"/>
        <w:rPr>
          <w:rFonts w:ascii="Verdana" w:hAnsi="Verdana"/>
          <w:b/>
          <w:sz w:val="20"/>
          <w:szCs w:val="20"/>
        </w:rPr>
      </w:pPr>
    </w:p>
    <w:p w:rsidR="00B8779D" w:rsidRDefault="00B8779D" w:rsidP="00B8779D">
      <w:pPr>
        <w:ind w:right="284"/>
        <w:contextualSpacing/>
        <w:jc w:val="both"/>
        <w:rPr>
          <w:rFonts w:ascii="Verdana" w:hAnsi="Verdana"/>
          <w:sz w:val="20"/>
          <w:szCs w:val="20"/>
        </w:rPr>
      </w:pPr>
      <w:r>
        <w:rPr>
          <w:rFonts w:ascii="Verdana" w:hAnsi="Verdana"/>
          <w:b/>
          <w:sz w:val="20"/>
          <w:szCs w:val="20"/>
        </w:rPr>
        <w:t xml:space="preserve">3/13 </w:t>
      </w:r>
      <w:r w:rsidRPr="00007541">
        <w:rPr>
          <w:rFonts w:ascii="Verdana" w:hAnsi="Verdana"/>
          <w:b/>
          <w:sz w:val="20"/>
          <w:szCs w:val="20"/>
        </w:rPr>
        <w:t>Výkup pozemků v k.</w:t>
      </w:r>
      <w:r>
        <w:rPr>
          <w:rFonts w:ascii="Verdana" w:hAnsi="Verdana"/>
          <w:b/>
          <w:sz w:val="20"/>
          <w:szCs w:val="20"/>
        </w:rPr>
        <w:t xml:space="preserve"> </w:t>
      </w:r>
      <w:proofErr w:type="spellStart"/>
      <w:r w:rsidRPr="00007541">
        <w:rPr>
          <w:rFonts w:ascii="Verdana" w:hAnsi="Verdana"/>
          <w:b/>
          <w:sz w:val="20"/>
          <w:szCs w:val="20"/>
        </w:rPr>
        <w:t>ú.</w:t>
      </w:r>
      <w:proofErr w:type="spellEnd"/>
      <w:r w:rsidRPr="00007541">
        <w:rPr>
          <w:rFonts w:ascii="Verdana" w:hAnsi="Verdana"/>
          <w:b/>
          <w:sz w:val="20"/>
          <w:szCs w:val="20"/>
        </w:rPr>
        <w:t xml:space="preserve"> KH a Sedlec u KH (p. Štorkán)</w:t>
      </w:r>
      <w:r w:rsidRPr="00561663">
        <w:rPr>
          <w:rFonts w:ascii="Verdana" w:hAnsi="Verdana"/>
          <w:sz w:val="20"/>
          <w:szCs w:val="20"/>
        </w:rPr>
        <w:t xml:space="preserve"> </w:t>
      </w:r>
    </w:p>
    <w:p w:rsidR="00B8779D" w:rsidRDefault="00B8779D" w:rsidP="00B8779D">
      <w:pPr>
        <w:ind w:right="284"/>
        <w:contextualSpacing/>
        <w:jc w:val="both"/>
        <w:rPr>
          <w:rFonts w:ascii="Verdana" w:hAnsi="Verdana"/>
          <w:sz w:val="20"/>
          <w:szCs w:val="20"/>
        </w:rPr>
      </w:pPr>
      <w:r>
        <w:rPr>
          <w:rFonts w:ascii="Verdana" w:hAnsi="Verdana"/>
          <w:sz w:val="20"/>
          <w:szCs w:val="20"/>
        </w:rPr>
        <w:t>P</w:t>
      </w:r>
      <w:r w:rsidRPr="00D10B0A">
        <w:rPr>
          <w:rFonts w:ascii="Verdana" w:hAnsi="Verdana"/>
          <w:sz w:val="20"/>
          <w:szCs w:val="20"/>
        </w:rPr>
        <w:t xml:space="preserve">an Ing. Štorkán </w:t>
      </w:r>
      <w:proofErr w:type="gramStart"/>
      <w:r>
        <w:rPr>
          <w:rFonts w:ascii="Verdana" w:hAnsi="Verdana"/>
          <w:sz w:val="20"/>
          <w:szCs w:val="20"/>
        </w:rPr>
        <w:t>nabídl</w:t>
      </w:r>
      <w:proofErr w:type="gramEnd"/>
      <w:r>
        <w:rPr>
          <w:rFonts w:ascii="Verdana" w:hAnsi="Verdana"/>
          <w:sz w:val="20"/>
          <w:szCs w:val="20"/>
        </w:rPr>
        <w:t xml:space="preserve"> Městu Kutná Hora ke koupi p</w:t>
      </w:r>
      <w:r w:rsidRPr="00D10B0A">
        <w:rPr>
          <w:rFonts w:ascii="Verdana" w:hAnsi="Verdana"/>
          <w:sz w:val="20"/>
          <w:szCs w:val="20"/>
        </w:rPr>
        <w:t>ozemk</w:t>
      </w:r>
      <w:r>
        <w:rPr>
          <w:rFonts w:ascii="Verdana" w:hAnsi="Verdana"/>
          <w:sz w:val="20"/>
          <w:szCs w:val="20"/>
        </w:rPr>
        <w:t xml:space="preserve">y </w:t>
      </w:r>
      <w:r w:rsidRPr="00D10B0A">
        <w:rPr>
          <w:rFonts w:ascii="Verdana" w:hAnsi="Verdana"/>
          <w:sz w:val="20"/>
          <w:szCs w:val="20"/>
        </w:rPr>
        <w:t xml:space="preserve">p. č. 4132/2 v k. </w:t>
      </w:r>
      <w:proofErr w:type="spellStart"/>
      <w:r w:rsidRPr="00D10B0A">
        <w:rPr>
          <w:rFonts w:ascii="Verdana" w:hAnsi="Verdana"/>
          <w:sz w:val="20"/>
          <w:szCs w:val="20"/>
        </w:rPr>
        <w:t>ú.</w:t>
      </w:r>
      <w:proofErr w:type="spellEnd"/>
      <w:r w:rsidRPr="00D10B0A">
        <w:rPr>
          <w:rFonts w:ascii="Verdana" w:hAnsi="Verdana"/>
          <w:sz w:val="20"/>
          <w:szCs w:val="20"/>
        </w:rPr>
        <w:t xml:space="preserve"> Kutná Hora a p. č. 772/12 v k. </w:t>
      </w:r>
      <w:proofErr w:type="spellStart"/>
      <w:r w:rsidRPr="00D10B0A">
        <w:rPr>
          <w:rFonts w:ascii="Verdana" w:hAnsi="Verdana"/>
          <w:sz w:val="20"/>
          <w:szCs w:val="20"/>
        </w:rPr>
        <w:t>ú.</w:t>
      </w:r>
      <w:proofErr w:type="spellEnd"/>
      <w:r w:rsidRPr="00D10B0A">
        <w:rPr>
          <w:rFonts w:ascii="Verdana" w:hAnsi="Verdana"/>
          <w:sz w:val="20"/>
          <w:szCs w:val="20"/>
        </w:rPr>
        <w:t xml:space="preserve"> Sedlec u Kutné Hory.  </w:t>
      </w:r>
    </w:p>
    <w:p w:rsidR="00B8779D" w:rsidRDefault="00B8779D" w:rsidP="00B8779D">
      <w:pPr>
        <w:ind w:right="284"/>
        <w:contextualSpacing/>
        <w:jc w:val="both"/>
        <w:rPr>
          <w:rFonts w:ascii="Verdana" w:hAnsi="Verdana"/>
          <w:sz w:val="20"/>
          <w:szCs w:val="20"/>
        </w:rPr>
      </w:pPr>
    </w:p>
    <w:p w:rsidR="00B8779D" w:rsidRDefault="00B8779D" w:rsidP="00B8779D">
      <w:pPr>
        <w:jc w:val="both"/>
        <w:rPr>
          <w:rFonts w:ascii="Verdana" w:hAnsi="Verdana"/>
          <w:b/>
          <w:sz w:val="20"/>
          <w:szCs w:val="20"/>
        </w:rPr>
      </w:pPr>
      <w:r>
        <w:rPr>
          <w:rFonts w:ascii="Verdana" w:hAnsi="Verdana"/>
          <w:b/>
          <w:sz w:val="20"/>
          <w:szCs w:val="20"/>
        </w:rPr>
        <w:t xml:space="preserve">3/14 </w:t>
      </w:r>
      <w:r w:rsidRPr="00007541">
        <w:rPr>
          <w:rFonts w:ascii="Verdana" w:hAnsi="Verdana"/>
          <w:b/>
          <w:sz w:val="20"/>
          <w:szCs w:val="20"/>
        </w:rPr>
        <w:t xml:space="preserve">Souhlas se zapsáním poznámky o výhradě - stroj </w:t>
      </w:r>
      <w:proofErr w:type="spellStart"/>
      <w:r w:rsidRPr="00007541">
        <w:rPr>
          <w:rFonts w:ascii="Verdana" w:hAnsi="Verdana"/>
          <w:b/>
          <w:sz w:val="20"/>
          <w:szCs w:val="20"/>
        </w:rPr>
        <w:t>trejv</w:t>
      </w:r>
      <w:proofErr w:type="spellEnd"/>
      <w:r w:rsidRPr="00007541">
        <w:rPr>
          <w:rFonts w:ascii="Verdana" w:hAnsi="Verdana"/>
          <w:b/>
          <w:sz w:val="20"/>
          <w:szCs w:val="20"/>
        </w:rPr>
        <w:t xml:space="preserve"> (SK)</w:t>
      </w:r>
    </w:p>
    <w:p w:rsidR="00B8779D" w:rsidRDefault="00B8779D" w:rsidP="00B8779D">
      <w:pPr>
        <w:jc w:val="both"/>
        <w:rPr>
          <w:rFonts w:ascii="Verdana" w:hAnsi="Verdana"/>
          <w:sz w:val="20"/>
          <w:szCs w:val="20"/>
        </w:rPr>
      </w:pPr>
      <w:r w:rsidRPr="007B3AA3">
        <w:rPr>
          <w:rFonts w:ascii="Verdana" w:hAnsi="Verdana"/>
          <w:sz w:val="20"/>
          <w:szCs w:val="20"/>
        </w:rPr>
        <w:t xml:space="preserve">Město Kutná Hora obdrželo žádost Středočeského kraje o souhlas města Kutná Hora se zapsáním poznámky o výhradě, podle § 23 odst. 1 písm. p) zákona č. 256/2013 Sb., katastrální zákon. Město Kutná Hora je vlastníkem pozemku p. č. 167 v k. </w:t>
      </w:r>
      <w:proofErr w:type="spellStart"/>
      <w:r w:rsidRPr="007B3AA3">
        <w:rPr>
          <w:rFonts w:ascii="Verdana" w:hAnsi="Verdana"/>
          <w:sz w:val="20"/>
          <w:szCs w:val="20"/>
        </w:rPr>
        <w:t>ú.</w:t>
      </w:r>
      <w:proofErr w:type="spellEnd"/>
      <w:r w:rsidRPr="007B3AA3">
        <w:rPr>
          <w:rFonts w:ascii="Verdana" w:hAnsi="Verdana"/>
          <w:sz w:val="20"/>
          <w:szCs w:val="20"/>
        </w:rPr>
        <w:t xml:space="preserve"> KH, na kterém je umístěn stroj </w:t>
      </w:r>
      <w:proofErr w:type="spellStart"/>
      <w:r w:rsidRPr="007B3AA3">
        <w:rPr>
          <w:rFonts w:ascii="Verdana" w:hAnsi="Verdana"/>
          <w:sz w:val="20"/>
          <w:szCs w:val="20"/>
        </w:rPr>
        <w:t>trejv</w:t>
      </w:r>
      <w:proofErr w:type="spellEnd"/>
      <w:r w:rsidRPr="007B3AA3">
        <w:rPr>
          <w:rFonts w:ascii="Verdana" w:hAnsi="Verdana"/>
          <w:sz w:val="20"/>
          <w:szCs w:val="20"/>
        </w:rPr>
        <w:t xml:space="preserve"> ve vlastnictví Středočeského kraje.</w:t>
      </w:r>
    </w:p>
    <w:p w:rsidR="00B8779D" w:rsidRPr="007B3AA3" w:rsidRDefault="00B8779D" w:rsidP="00B8779D">
      <w:pPr>
        <w:jc w:val="both"/>
        <w:rPr>
          <w:rFonts w:ascii="Verdana" w:hAnsi="Verdana"/>
          <w:sz w:val="20"/>
          <w:szCs w:val="20"/>
        </w:rPr>
      </w:pPr>
    </w:p>
    <w:p w:rsidR="00B8779D" w:rsidRPr="003E0709" w:rsidRDefault="00B8779D" w:rsidP="00B8779D">
      <w:pPr>
        <w:autoSpaceDE w:val="0"/>
        <w:autoSpaceDN w:val="0"/>
        <w:adjustRightInd w:val="0"/>
        <w:rPr>
          <w:rFonts w:ascii="Verdana" w:hAnsi="Verdana"/>
          <w:b/>
          <w:sz w:val="20"/>
          <w:szCs w:val="20"/>
        </w:rPr>
      </w:pPr>
      <w:r>
        <w:rPr>
          <w:rFonts w:ascii="Verdana" w:hAnsi="Verdana"/>
          <w:b/>
          <w:sz w:val="20"/>
          <w:szCs w:val="20"/>
        </w:rPr>
        <w:t xml:space="preserve">3/15 </w:t>
      </w:r>
      <w:r w:rsidRPr="00F66435">
        <w:rPr>
          <w:rFonts w:ascii="Verdana" w:hAnsi="Verdana"/>
          <w:b/>
          <w:sz w:val="20"/>
          <w:szCs w:val="20"/>
        </w:rPr>
        <w:t xml:space="preserve">Rozpočtová  opatření OSM č. </w:t>
      </w:r>
      <w:r>
        <w:rPr>
          <w:rFonts w:ascii="Verdana" w:hAnsi="Verdana"/>
          <w:b/>
          <w:sz w:val="20"/>
          <w:szCs w:val="20"/>
        </w:rPr>
        <w:t>4</w:t>
      </w:r>
      <w:r w:rsidRPr="00F66435">
        <w:rPr>
          <w:rFonts w:ascii="Verdana" w:hAnsi="Verdana"/>
          <w:b/>
          <w:sz w:val="20"/>
          <w:szCs w:val="20"/>
        </w:rPr>
        <w:t xml:space="preserve"> -</w:t>
      </w:r>
      <w:r>
        <w:rPr>
          <w:rFonts w:ascii="Verdana" w:hAnsi="Verdana"/>
          <w:b/>
          <w:sz w:val="20"/>
          <w:szCs w:val="20"/>
        </w:rPr>
        <w:t>5</w:t>
      </w:r>
      <w:r w:rsidRPr="00F66435">
        <w:rPr>
          <w:rFonts w:ascii="Verdana" w:hAnsi="Verdana"/>
          <w:b/>
          <w:sz w:val="20"/>
          <w:szCs w:val="20"/>
        </w:rPr>
        <w:t>/</w:t>
      </w:r>
      <w:r>
        <w:rPr>
          <w:rFonts w:ascii="Verdana" w:hAnsi="Verdana"/>
          <w:b/>
          <w:sz w:val="20"/>
          <w:szCs w:val="20"/>
        </w:rPr>
        <w:t>21</w:t>
      </w:r>
    </w:p>
    <w:p w:rsidR="00B8779D" w:rsidRDefault="00B8779D" w:rsidP="008700B6">
      <w:pPr>
        <w:numPr>
          <w:ilvl w:val="0"/>
          <w:numId w:val="16"/>
        </w:numPr>
        <w:tabs>
          <w:tab w:val="left" w:pos="426"/>
        </w:tabs>
        <w:autoSpaceDE w:val="0"/>
        <w:autoSpaceDN w:val="0"/>
        <w:adjustRightInd w:val="0"/>
        <w:ind w:left="0" w:firstLine="0"/>
        <w:jc w:val="both"/>
        <w:rPr>
          <w:rFonts w:ascii="Verdana" w:hAnsi="Verdana"/>
          <w:sz w:val="20"/>
          <w:szCs w:val="20"/>
        </w:rPr>
      </w:pPr>
      <w:r>
        <w:rPr>
          <w:rFonts w:ascii="Verdana" w:hAnsi="Verdana"/>
          <w:sz w:val="20"/>
          <w:szCs w:val="20"/>
        </w:rPr>
        <w:t>V příjmové části rozpočtu na rok 2021 máme nový příjem – doplatek pojistného plnění za požárem zničenou ubytovnu. Ve stejné výši podal odbor správy majetku návrh na posílení výdajů svého rozpočtu.</w:t>
      </w:r>
    </w:p>
    <w:p w:rsidR="00B8779D" w:rsidRPr="00222395" w:rsidRDefault="00B8779D" w:rsidP="00B8779D">
      <w:pPr>
        <w:autoSpaceDE w:val="0"/>
        <w:autoSpaceDN w:val="0"/>
        <w:adjustRightInd w:val="0"/>
        <w:ind w:left="720"/>
        <w:jc w:val="both"/>
        <w:rPr>
          <w:rFonts w:ascii="Verdana" w:hAnsi="Verdana"/>
          <w:sz w:val="20"/>
          <w:szCs w:val="20"/>
        </w:rPr>
      </w:pPr>
    </w:p>
    <w:p w:rsidR="00B8779D" w:rsidRDefault="00B8779D" w:rsidP="008700B6">
      <w:pPr>
        <w:numPr>
          <w:ilvl w:val="0"/>
          <w:numId w:val="16"/>
        </w:numPr>
        <w:tabs>
          <w:tab w:val="left" w:pos="426"/>
        </w:tabs>
        <w:autoSpaceDE w:val="0"/>
        <w:autoSpaceDN w:val="0"/>
        <w:adjustRightInd w:val="0"/>
        <w:ind w:left="0" w:firstLine="0"/>
        <w:jc w:val="both"/>
        <w:rPr>
          <w:rFonts w:ascii="Verdana" w:hAnsi="Verdana"/>
          <w:sz w:val="20"/>
          <w:szCs w:val="20"/>
        </w:rPr>
      </w:pPr>
      <w:r>
        <w:rPr>
          <w:rFonts w:ascii="Verdana" w:hAnsi="Verdana"/>
          <w:sz w:val="20"/>
          <w:szCs w:val="20"/>
        </w:rPr>
        <w:t>Dne 10.</w:t>
      </w:r>
      <w:r w:rsidR="008700B6">
        <w:rPr>
          <w:rFonts w:ascii="Verdana" w:hAnsi="Verdana"/>
          <w:sz w:val="20"/>
          <w:szCs w:val="20"/>
        </w:rPr>
        <w:t xml:space="preserve"> </w:t>
      </w:r>
      <w:r>
        <w:rPr>
          <w:rFonts w:ascii="Verdana" w:hAnsi="Verdana"/>
          <w:sz w:val="20"/>
          <w:szCs w:val="20"/>
        </w:rPr>
        <w:t xml:space="preserve">května 2021 byla na účet Města KH vrácena jistina za předběžné opatření soudního řízení z roku 2006 k určení vlastnického práva (pozemky), proto odbor správy majetku navrhl zřízení nové příjmové položky vratka jistiny – pozemky </w:t>
      </w:r>
      <w:r>
        <w:rPr>
          <w:rFonts w:ascii="Verdana" w:hAnsi="Verdana"/>
          <w:sz w:val="20"/>
          <w:szCs w:val="20"/>
        </w:rPr>
        <w:br/>
        <w:t>a ve stejné výši navrhl navýšení svých výdajů.</w:t>
      </w:r>
    </w:p>
    <w:p w:rsidR="0074295C" w:rsidRPr="0074295C" w:rsidRDefault="0074295C" w:rsidP="0074295C">
      <w:pPr>
        <w:pStyle w:val="Odstavecseseznamem"/>
        <w:rPr>
          <w:rFonts w:ascii="Verdana" w:hAnsi="Verdana"/>
          <w:sz w:val="20"/>
          <w:szCs w:val="20"/>
        </w:rPr>
      </w:pPr>
    </w:p>
    <w:p w:rsidR="0074295C" w:rsidRPr="0074295C" w:rsidRDefault="0074295C" w:rsidP="0074295C">
      <w:pPr>
        <w:rPr>
          <w:rFonts w:ascii="Verdana" w:hAnsi="Verdana"/>
          <w:b/>
          <w:sz w:val="20"/>
          <w:szCs w:val="20"/>
        </w:rPr>
      </w:pPr>
      <w:r w:rsidRPr="0074295C">
        <w:rPr>
          <w:rFonts w:ascii="Verdana" w:hAnsi="Verdana"/>
          <w:b/>
          <w:sz w:val="20"/>
          <w:szCs w:val="20"/>
        </w:rPr>
        <w:t xml:space="preserve">3/16 </w:t>
      </w:r>
      <w:r w:rsidRPr="0074295C">
        <w:rPr>
          <w:rFonts w:ascii="Verdana" w:hAnsi="Verdana"/>
          <w:b/>
          <w:sz w:val="20"/>
          <w:szCs w:val="20"/>
        </w:rPr>
        <w:t xml:space="preserve">Využití předkupního práva v k. </w:t>
      </w:r>
      <w:proofErr w:type="spellStart"/>
      <w:r w:rsidRPr="0074295C">
        <w:rPr>
          <w:rFonts w:ascii="Verdana" w:hAnsi="Verdana"/>
          <w:b/>
          <w:sz w:val="20"/>
          <w:szCs w:val="20"/>
        </w:rPr>
        <w:t>ú.</w:t>
      </w:r>
      <w:proofErr w:type="spellEnd"/>
      <w:r w:rsidRPr="0074295C">
        <w:rPr>
          <w:rFonts w:ascii="Verdana" w:hAnsi="Verdana"/>
          <w:b/>
          <w:sz w:val="20"/>
          <w:szCs w:val="20"/>
        </w:rPr>
        <w:t xml:space="preserve"> Zdeslavice u Chlístovic</w:t>
      </w:r>
    </w:p>
    <w:p w:rsidR="0074295C" w:rsidRPr="0074295C" w:rsidRDefault="0074295C" w:rsidP="0074295C">
      <w:pPr>
        <w:rPr>
          <w:rFonts w:ascii="Verdana" w:hAnsi="Verdana"/>
          <w:b/>
          <w:sz w:val="20"/>
          <w:szCs w:val="20"/>
        </w:rPr>
      </w:pPr>
      <w:r w:rsidRPr="0074295C">
        <w:rPr>
          <w:rFonts w:ascii="Verdana" w:hAnsi="Verdana"/>
          <w:b/>
          <w:sz w:val="20"/>
          <w:szCs w:val="20"/>
        </w:rPr>
        <w:t>(Philip Morris ČR a.s.)</w:t>
      </w:r>
      <w:r>
        <w:rPr>
          <w:rFonts w:ascii="Verdana" w:hAnsi="Verdana"/>
          <w:b/>
          <w:sz w:val="20"/>
          <w:szCs w:val="20"/>
        </w:rPr>
        <w:t xml:space="preserve"> - NEPŘIJATO</w:t>
      </w:r>
    </w:p>
    <w:p w:rsidR="0074295C" w:rsidRPr="0074295C" w:rsidRDefault="0074295C" w:rsidP="0074295C">
      <w:pPr>
        <w:jc w:val="both"/>
        <w:rPr>
          <w:rFonts w:ascii="Verdana" w:hAnsi="Verdana"/>
          <w:sz w:val="20"/>
          <w:szCs w:val="20"/>
        </w:rPr>
      </w:pPr>
      <w:r w:rsidRPr="0074295C">
        <w:rPr>
          <w:rFonts w:ascii="Verdana" w:hAnsi="Verdana"/>
          <w:sz w:val="20"/>
          <w:szCs w:val="20"/>
        </w:rPr>
        <w:t xml:space="preserve">Společnost Philip Morris ČR a.s. zaslala městu Kutná Hora nabídku k využití předkupního práva na stavby pro rodinnou rekreaci (chatky) u </w:t>
      </w:r>
      <w:proofErr w:type="spellStart"/>
      <w:r w:rsidRPr="0074295C">
        <w:rPr>
          <w:rFonts w:ascii="Verdana" w:hAnsi="Verdana"/>
          <w:sz w:val="20"/>
          <w:szCs w:val="20"/>
        </w:rPr>
        <w:t>Pastvického</w:t>
      </w:r>
      <w:proofErr w:type="spellEnd"/>
      <w:r w:rsidRPr="0074295C">
        <w:rPr>
          <w:rFonts w:ascii="Verdana" w:hAnsi="Verdana"/>
          <w:sz w:val="20"/>
          <w:szCs w:val="20"/>
        </w:rPr>
        <w:t xml:space="preserve"> rybníka ve vlastnictví této společnosti, které stojí na městských pozemcích. </w:t>
      </w:r>
    </w:p>
    <w:p w:rsidR="00127F90" w:rsidRDefault="00127F90" w:rsidP="00127F90">
      <w:pPr>
        <w:spacing w:line="276" w:lineRule="auto"/>
        <w:ind w:left="705" w:hanging="705"/>
        <w:jc w:val="both"/>
        <w:rPr>
          <w:rFonts w:ascii="Verdana" w:eastAsia="Calibri" w:hAnsi="Verdana"/>
          <w:bCs/>
          <w:sz w:val="20"/>
          <w:szCs w:val="20"/>
        </w:rPr>
      </w:pPr>
    </w:p>
    <w:p w:rsidR="000309EF" w:rsidRDefault="000309EF" w:rsidP="00127F90">
      <w:pPr>
        <w:spacing w:line="276" w:lineRule="auto"/>
        <w:ind w:left="705" w:hanging="705"/>
        <w:jc w:val="both"/>
        <w:rPr>
          <w:rFonts w:ascii="Verdana" w:eastAsia="Calibri" w:hAnsi="Verdana"/>
          <w:bCs/>
          <w:sz w:val="20"/>
          <w:szCs w:val="20"/>
        </w:rPr>
      </w:pPr>
    </w:p>
    <w:p w:rsidR="00127F90" w:rsidRDefault="00127F90" w:rsidP="00127F90">
      <w:pPr>
        <w:spacing w:line="276" w:lineRule="auto"/>
        <w:jc w:val="both"/>
        <w:rPr>
          <w:rFonts w:ascii="Verdana" w:hAnsi="Verdana"/>
          <w:b/>
          <w:sz w:val="20"/>
          <w:szCs w:val="20"/>
          <w:u w:val="single"/>
        </w:rPr>
      </w:pPr>
      <w:r>
        <w:rPr>
          <w:rFonts w:ascii="Verdana" w:hAnsi="Verdana"/>
          <w:b/>
          <w:sz w:val="20"/>
          <w:szCs w:val="20"/>
          <w:u w:val="single"/>
        </w:rPr>
        <w:t>Odbor památkové péče, školství a kultury</w:t>
      </w:r>
    </w:p>
    <w:p w:rsidR="00EA4052" w:rsidRPr="00EA4052" w:rsidRDefault="00EA4052" w:rsidP="00EA4052">
      <w:pPr>
        <w:rPr>
          <w:rFonts w:ascii="Verdana" w:hAnsi="Verdana"/>
          <w:b/>
          <w:sz w:val="20"/>
          <w:szCs w:val="20"/>
        </w:rPr>
      </w:pPr>
      <w:r w:rsidRPr="00EA4052">
        <w:rPr>
          <w:rFonts w:ascii="Verdana" w:hAnsi="Verdana"/>
          <w:b/>
          <w:sz w:val="20"/>
          <w:szCs w:val="20"/>
        </w:rPr>
        <w:t xml:space="preserve">4/01  Dotační programy města Kutná Hora – oblast vzdělávání a volný čas </w:t>
      </w:r>
    </w:p>
    <w:p w:rsidR="00EA4052" w:rsidRPr="00EA4052" w:rsidRDefault="00EA4052" w:rsidP="00EA4052">
      <w:pPr>
        <w:rPr>
          <w:rFonts w:ascii="Verdana" w:hAnsi="Verdana"/>
          <w:sz w:val="20"/>
          <w:szCs w:val="20"/>
        </w:rPr>
      </w:pPr>
      <w:r w:rsidRPr="00EA4052">
        <w:rPr>
          <w:rFonts w:ascii="Verdana" w:hAnsi="Verdana"/>
          <w:sz w:val="20"/>
          <w:szCs w:val="20"/>
        </w:rPr>
        <w:t>Podmínky dotačních programů na rok 2022: Velké projekty oblast vzdělávání a volný čas,</w:t>
      </w:r>
    </w:p>
    <w:p w:rsidR="00EA4052" w:rsidRPr="00EA4052" w:rsidRDefault="00EA4052" w:rsidP="00EA4052">
      <w:pPr>
        <w:rPr>
          <w:rFonts w:ascii="Verdana" w:hAnsi="Verdana" w:cstheme="minorBidi"/>
          <w:sz w:val="20"/>
          <w:szCs w:val="20"/>
        </w:rPr>
      </w:pPr>
      <w:r w:rsidRPr="00EA4052">
        <w:rPr>
          <w:rFonts w:ascii="Verdana" w:hAnsi="Verdana"/>
          <w:sz w:val="20"/>
          <w:szCs w:val="20"/>
        </w:rPr>
        <w:t xml:space="preserve">Malé projekty oblast vzdělávání a volný čas, Podpora vzdělávání dětí a mládeže ve městě </w:t>
      </w:r>
    </w:p>
    <w:p w:rsidR="00EA4052" w:rsidRPr="00EA4052" w:rsidRDefault="00EA4052" w:rsidP="00EA4052">
      <w:pPr>
        <w:rPr>
          <w:rFonts w:ascii="Verdana" w:hAnsi="Verdana"/>
          <w:bCs/>
          <w:color w:val="000000"/>
          <w:sz w:val="20"/>
          <w:szCs w:val="20"/>
        </w:rPr>
      </w:pPr>
    </w:p>
    <w:p w:rsidR="00EA4052" w:rsidRPr="00EA4052" w:rsidRDefault="00EA4052" w:rsidP="00EA4052">
      <w:pPr>
        <w:rPr>
          <w:rFonts w:ascii="Verdana" w:hAnsi="Verdana"/>
          <w:b/>
          <w:sz w:val="20"/>
          <w:szCs w:val="20"/>
        </w:rPr>
      </w:pPr>
      <w:r w:rsidRPr="00EA4052">
        <w:rPr>
          <w:rFonts w:ascii="Verdana" w:hAnsi="Verdana"/>
          <w:b/>
          <w:sz w:val="20"/>
          <w:szCs w:val="20"/>
        </w:rPr>
        <w:t xml:space="preserve">4/02 Dotační programy města Kutná Hora – oblast sportu </w:t>
      </w:r>
    </w:p>
    <w:p w:rsidR="00EA4052" w:rsidRPr="00EA4052" w:rsidRDefault="00EA4052" w:rsidP="00EA4052">
      <w:pPr>
        <w:rPr>
          <w:rFonts w:ascii="Verdana" w:hAnsi="Verdana"/>
          <w:sz w:val="20"/>
          <w:szCs w:val="20"/>
        </w:rPr>
      </w:pPr>
      <w:r w:rsidRPr="00EA4052">
        <w:rPr>
          <w:rFonts w:ascii="Verdana" w:hAnsi="Verdana"/>
          <w:sz w:val="20"/>
          <w:szCs w:val="20"/>
        </w:rPr>
        <w:t>Podmínky dotačních programů na rok 2022: Velké projekty oblast sport,</w:t>
      </w:r>
    </w:p>
    <w:p w:rsidR="00EA4052" w:rsidRPr="00EA4052" w:rsidRDefault="00EA4052" w:rsidP="00EA4052">
      <w:pPr>
        <w:rPr>
          <w:rFonts w:ascii="Verdana" w:hAnsi="Verdana" w:cstheme="minorBidi"/>
          <w:sz w:val="20"/>
          <w:szCs w:val="20"/>
        </w:rPr>
      </w:pPr>
      <w:r w:rsidRPr="00EA4052">
        <w:rPr>
          <w:rFonts w:ascii="Verdana" w:hAnsi="Verdana"/>
          <w:sz w:val="20"/>
          <w:szCs w:val="20"/>
        </w:rPr>
        <w:t xml:space="preserve">Malé projekty oblast sport, Podpora sportu ve městě, Registrovaná mládež. </w:t>
      </w:r>
    </w:p>
    <w:p w:rsidR="00EA4052" w:rsidRPr="00EA4052" w:rsidRDefault="00EA4052" w:rsidP="00EA4052">
      <w:pPr>
        <w:jc w:val="both"/>
        <w:rPr>
          <w:rFonts w:ascii="Verdana" w:hAnsi="Verdana"/>
          <w:sz w:val="20"/>
          <w:szCs w:val="20"/>
        </w:rPr>
      </w:pPr>
    </w:p>
    <w:p w:rsidR="00EA4052" w:rsidRPr="00EA4052" w:rsidRDefault="00EA4052" w:rsidP="00EA4052">
      <w:pPr>
        <w:jc w:val="both"/>
        <w:rPr>
          <w:rFonts w:ascii="Verdana" w:hAnsi="Verdana"/>
          <w:b/>
          <w:sz w:val="20"/>
          <w:szCs w:val="20"/>
        </w:rPr>
      </w:pPr>
      <w:r w:rsidRPr="00EA4052">
        <w:rPr>
          <w:rFonts w:ascii="Verdana" w:hAnsi="Verdana"/>
          <w:b/>
          <w:sz w:val="20"/>
          <w:szCs w:val="20"/>
        </w:rPr>
        <w:t xml:space="preserve">4/03 Snížení příspěvku z FRM na rok 2021 – </w:t>
      </w:r>
      <w:proofErr w:type="gramStart"/>
      <w:r w:rsidRPr="00EA4052">
        <w:rPr>
          <w:rFonts w:ascii="Verdana" w:hAnsi="Verdana"/>
          <w:b/>
          <w:sz w:val="20"/>
          <w:szCs w:val="20"/>
        </w:rPr>
        <w:t>č.p.</w:t>
      </w:r>
      <w:proofErr w:type="gramEnd"/>
      <w:r w:rsidRPr="00EA4052">
        <w:rPr>
          <w:rFonts w:ascii="Verdana" w:hAnsi="Verdana"/>
          <w:b/>
          <w:sz w:val="20"/>
          <w:szCs w:val="20"/>
        </w:rPr>
        <w:t xml:space="preserve"> 35 </w:t>
      </w:r>
      <w:proofErr w:type="spellStart"/>
      <w:r w:rsidRPr="00EA4052">
        <w:rPr>
          <w:rFonts w:ascii="Verdana" w:hAnsi="Verdana"/>
          <w:b/>
          <w:sz w:val="20"/>
          <w:szCs w:val="20"/>
        </w:rPr>
        <w:t>Lorecká</w:t>
      </w:r>
      <w:proofErr w:type="spellEnd"/>
      <w:r w:rsidRPr="00EA4052">
        <w:rPr>
          <w:rFonts w:ascii="Verdana" w:hAnsi="Verdana"/>
          <w:b/>
          <w:sz w:val="20"/>
          <w:szCs w:val="20"/>
        </w:rPr>
        <w:t xml:space="preserve"> ulice</w:t>
      </w:r>
    </w:p>
    <w:p w:rsidR="00EA4052" w:rsidRPr="00EA4052" w:rsidRDefault="00EA4052" w:rsidP="00EA4052">
      <w:pPr>
        <w:contextualSpacing/>
        <w:jc w:val="both"/>
        <w:rPr>
          <w:rFonts w:ascii="Verdana" w:hAnsi="Verdana"/>
          <w:sz w:val="20"/>
          <w:szCs w:val="20"/>
        </w:rPr>
      </w:pPr>
      <w:r w:rsidRPr="00EA4052">
        <w:rPr>
          <w:rFonts w:ascii="Verdana" w:hAnsi="Verdana"/>
          <w:sz w:val="20"/>
          <w:szCs w:val="20"/>
        </w:rPr>
        <w:t xml:space="preserve">Snížení odsouhlaseného příspěvku z Fondu regenerace města Kutné Hory na rok 2021 na obnovu domu č. p. 35 </w:t>
      </w:r>
      <w:proofErr w:type="spellStart"/>
      <w:r w:rsidRPr="00EA4052">
        <w:rPr>
          <w:rFonts w:ascii="Verdana" w:hAnsi="Verdana"/>
          <w:sz w:val="20"/>
          <w:szCs w:val="20"/>
        </w:rPr>
        <w:t>Lorecká</w:t>
      </w:r>
      <w:proofErr w:type="spellEnd"/>
      <w:r w:rsidRPr="00EA4052">
        <w:rPr>
          <w:rFonts w:ascii="Verdana" w:hAnsi="Verdana"/>
          <w:sz w:val="20"/>
          <w:szCs w:val="20"/>
        </w:rPr>
        <w:t xml:space="preserve"> ulice v Kutné Hoře. Uzavření veřejnoprávní smlouvy o poskytnutí příspěvku z Fondu regenerace města Kutné Hory na rok 2021.</w:t>
      </w:r>
    </w:p>
    <w:p w:rsidR="00EA4052" w:rsidRPr="00EA4052" w:rsidRDefault="00EA4052" w:rsidP="00EA4052">
      <w:pPr>
        <w:jc w:val="both"/>
        <w:rPr>
          <w:rFonts w:ascii="Verdana" w:hAnsi="Verdana"/>
          <w:b/>
          <w:sz w:val="20"/>
          <w:szCs w:val="20"/>
        </w:rPr>
      </w:pPr>
    </w:p>
    <w:p w:rsidR="00EA4052" w:rsidRPr="00EA4052" w:rsidRDefault="00EA4052" w:rsidP="00EA4052">
      <w:pPr>
        <w:tabs>
          <w:tab w:val="left" w:pos="284"/>
        </w:tabs>
        <w:rPr>
          <w:rFonts w:ascii="Verdana" w:hAnsi="Verdana"/>
          <w:b/>
          <w:sz w:val="20"/>
          <w:szCs w:val="20"/>
        </w:rPr>
      </w:pPr>
      <w:r w:rsidRPr="00EA4052">
        <w:rPr>
          <w:rFonts w:ascii="Verdana" w:hAnsi="Verdana"/>
          <w:b/>
          <w:sz w:val="20"/>
          <w:szCs w:val="20"/>
        </w:rPr>
        <w:t xml:space="preserve">4/04 Snížení příspěvku z FRM na rok 2021 – </w:t>
      </w:r>
      <w:proofErr w:type="gramStart"/>
      <w:r w:rsidRPr="00EA4052">
        <w:rPr>
          <w:rFonts w:ascii="Verdana" w:hAnsi="Verdana"/>
          <w:b/>
          <w:sz w:val="20"/>
          <w:szCs w:val="20"/>
        </w:rPr>
        <w:t>č.p.</w:t>
      </w:r>
      <w:proofErr w:type="gramEnd"/>
      <w:r w:rsidRPr="00EA4052">
        <w:rPr>
          <w:rFonts w:ascii="Verdana" w:hAnsi="Verdana"/>
          <w:b/>
          <w:sz w:val="20"/>
          <w:szCs w:val="20"/>
        </w:rPr>
        <w:t xml:space="preserve"> 163 Šultysova ulice</w:t>
      </w:r>
    </w:p>
    <w:p w:rsidR="00EA4052" w:rsidRPr="00EA4052" w:rsidRDefault="00EA4052" w:rsidP="00EA4052">
      <w:pPr>
        <w:tabs>
          <w:tab w:val="left" w:pos="284"/>
        </w:tabs>
        <w:rPr>
          <w:rFonts w:ascii="Verdana" w:hAnsi="Verdana"/>
          <w:b/>
          <w:sz w:val="20"/>
          <w:szCs w:val="20"/>
        </w:rPr>
      </w:pPr>
      <w:r w:rsidRPr="00EA4052">
        <w:rPr>
          <w:rFonts w:ascii="Verdana" w:hAnsi="Verdana"/>
          <w:sz w:val="20"/>
          <w:szCs w:val="20"/>
        </w:rPr>
        <w:t>Snížení odsouhlaseného příspěvku z Fondu regenerace města Kutné Hory na rok 2021 na obnovu domu č. p. 163 Šultysova ulice v Kutné Hoře. Uzavření veřejnoprávní smlouvy o poskytnutí příspěvku z Fondu regenerace města Kutné Hory na rok 2021.</w:t>
      </w:r>
    </w:p>
    <w:p w:rsidR="00EA4052" w:rsidRPr="00EA4052" w:rsidRDefault="00EA4052" w:rsidP="00EA4052">
      <w:pPr>
        <w:rPr>
          <w:rFonts w:ascii="Verdana" w:hAnsi="Verdana"/>
          <w:sz w:val="20"/>
          <w:szCs w:val="20"/>
        </w:rPr>
      </w:pPr>
    </w:p>
    <w:p w:rsidR="00EA4052" w:rsidRPr="00EA4052" w:rsidRDefault="00EA4052" w:rsidP="00EA4052">
      <w:pPr>
        <w:jc w:val="both"/>
        <w:rPr>
          <w:rFonts w:ascii="Verdana" w:hAnsi="Verdana"/>
          <w:b/>
          <w:sz w:val="20"/>
          <w:szCs w:val="20"/>
        </w:rPr>
      </w:pPr>
      <w:r w:rsidRPr="00EA4052">
        <w:rPr>
          <w:rFonts w:ascii="Verdana" w:hAnsi="Verdana"/>
          <w:b/>
          <w:sz w:val="20"/>
          <w:szCs w:val="20"/>
        </w:rPr>
        <w:t xml:space="preserve">4/05 Poskytnutí příspěvku z FRM na rok 2021 – havárie zdi u </w:t>
      </w:r>
      <w:proofErr w:type="gramStart"/>
      <w:r w:rsidRPr="00EA4052">
        <w:rPr>
          <w:rFonts w:ascii="Verdana" w:hAnsi="Verdana"/>
          <w:b/>
          <w:sz w:val="20"/>
          <w:szCs w:val="20"/>
        </w:rPr>
        <w:t>č.p.</w:t>
      </w:r>
      <w:proofErr w:type="gramEnd"/>
      <w:r w:rsidRPr="00EA4052">
        <w:rPr>
          <w:rFonts w:ascii="Verdana" w:hAnsi="Verdana"/>
          <w:b/>
          <w:sz w:val="20"/>
          <w:szCs w:val="20"/>
        </w:rPr>
        <w:t xml:space="preserve"> 245 Orelská ul</w:t>
      </w:r>
      <w:r w:rsidR="00DF2144">
        <w:rPr>
          <w:rFonts w:ascii="Verdana" w:hAnsi="Verdana"/>
          <w:b/>
          <w:sz w:val="20"/>
          <w:szCs w:val="20"/>
        </w:rPr>
        <w:t>.</w:t>
      </w:r>
    </w:p>
    <w:p w:rsidR="00EA4052" w:rsidRPr="00EA4052" w:rsidRDefault="00EA4052" w:rsidP="00EA4052">
      <w:pPr>
        <w:contextualSpacing/>
        <w:jc w:val="both"/>
        <w:rPr>
          <w:rFonts w:ascii="Verdana" w:hAnsi="Verdana"/>
          <w:b/>
          <w:sz w:val="20"/>
          <w:szCs w:val="20"/>
        </w:rPr>
      </w:pPr>
      <w:r w:rsidRPr="00EA4052">
        <w:rPr>
          <w:rFonts w:ascii="Verdana" w:hAnsi="Verdana"/>
          <w:sz w:val="20"/>
          <w:szCs w:val="20"/>
        </w:rPr>
        <w:t>Poskytnutí příspěvku na rok 2021 dle Zásad pro poskytování příspěvků z Fondu regenerace města Kutné Hory článku IV. Žádost o poskytnutí příspěvku, odstavce 6. na opravu zřícené ohradní zdi u domu č. p. 245 Orelská ulice v Kutné Hoře. Uzavření veřejnoprávní smlouvy o poskytnutí příspěvku z Fondu regenerace města Kutné Hory na rok 2021.</w:t>
      </w:r>
    </w:p>
    <w:p w:rsidR="00EA4052" w:rsidRPr="00EA4052" w:rsidRDefault="00EA4052" w:rsidP="00EA4052">
      <w:pPr>
        <w:jc w:val="both"/>
        <w:rPr>
          <w:rFonts w:ascii="Verdana" w:hAnsi="Verdana"/>
          <w:b/>
          <w:sz w:val="20"/>
          <w:szCs w:val="20"/>
        </w:rPr>
      </w:pPr>
    </w:p>
    <w:p w:rsidR="00EA4052" w:rsidRPr="00EA4052" w:rsidRDefault="00EA4052" w:rsidP="00EA4052">
      <w:pPr>
        <w:rPr>
          <w:rFonts w:ascii="Verdana" w:hAnsi="Verdana"/>
          <w:b/>
          <w:sz w:val="20"/>
          <w:szCs w:val="20"/>
        </w:rPr>
      </w:pPr>
      <w:r w:rsidRPr="00EA4052">
        <w:rPr>
          <w:rFonts w:ascii="Verdana" w:hAnsi="Verdana"/>
          <w:b/>
          <w:sz w:val="20"/>
          <w:szCs w:val="20"/>
        </w:rPr>
        <w:t>4/06 Dotační programy města Kutná Hora – oblast kultura</w:t>
      </w:r>
    </w:p>
    <w:p w:rsidR="00EA4052" w:rsidRPr="00EA4052" w:rsidRDefault="00EA4052" w:rsidP="00EA4052">
      <w:pPr>
        <w:rPr>
          <w:rFonts w:ascii="Verdana" w:hAnsi="Verdana"/>
          <w:sz w:val="20"/>
          <w:szCs w:val="20"/>
        </w:rPr>
      </w:pPr>
      <w:r w:rsidRPr="00EA4052">
        <w:rPr>
          <w:rFonts w:ascii="Verdana" w:hAnsi="Verdana"/>
          <w:sz w:val="20"/>
          <w:szCs w:val="20"/>
        </w:rPr>
        <w:t>Podmínky dotačních programů na rok 2022 pro oblast kultura.</w:t>
      </w:r>
    </w:p>
    <w:p w:rsidR="00EA4052" w:rsidRPr="00EA4052" w:rsidRDefault="00EA4052" w:rsidP="00EA4052">
      <w:pPr>
        <w:jc w:val="both"/>
        <w:rPr>
          <w:rFonts w:ascii="Verdana" w:hAnsi="Verdana"/>
          <w:b/>
          <w:sz w:val="20"/>
          <w:szCs w:val="20"/>
        </w:rPr>
      </w:pPr>
    </w:p>
    <w:p w:rsidR="00EA4052" w:rsidRPr="00EA4052" w:rsidRDefault="00EA4052" w:rsidP="00EA4052">
      <w:pPr>
        <w:jc w:val="both"/>
        <w:rPr>
          <w:rFonts w:ascii="Verdana" w:hAnsi="Verdana"/>
          <w:b/>
          <w:bCs/>
          <w:sz w:val="20"/>
          <w:szCs w:val="20"/>
        </w:rPr>
      </w:pPr>
      <w:r w:rsidRPr="00EA4052">
        <w:rPr>
          <w:rFonts w:ascii="Verdana" w:hAnsi="Verdana"/>
          <w:b/>
          <w:bCs/>
          <w:sz w:val="20"/>
          <w:szCs w:val="20"/>
        </w:rPr>
        <w:t>4/07 Monitorovací zpráva UNESCO za rok 2020</w:t>
      </w:r>
    </w:p>
    <w:p w:rsidR="00EA4052" w:rsidRPr="00EA4052" w:rsidRDefault="00EA4052" w:rsidP="00EA4052">
      <w:pPr>
        <w:jc w:val="both"/>
        <w:rPr>
          <w:rFonts w:ascii="Verdana" w:hAnsi="Verdana"/>
          <w:sz w:val="20"/>
          <w:szCs w:val="20"/>
        </w:rPr>
      </w:pPr>
      <w:r w:rsidRPr="00EA4052">
        <w:rPr>
          <w:rFonts w:ascii="Verdana" w:hAnsi="Verdana"/>
          <w:sz w:val="20"/>
          <w:szCs w:val="20"/>
        </w:rPr>
        <w:t>Znění roční monitorovací zprávy o statku zapsaném na Seznam světového kulturního a přírodního dědictví UNESCO za rok 2020.</w:t>
      </w:r>
    </w:p>
    <w:p w:rsidR="00EA4052" w:rsidRPr="00EA4052" w:rsidRDefault="00EA4052" w:rsidP="00EA4052">
      <w:pPr>
        <w:jc w:val="both"/>
        <w:rPr>
          <w:rFonts w:ascii="Verdana" w:hAnsi="Verdana"/>
          <w:sz w:val="20"/>
          <w:szCs w:val="20"/>
        </w:rPr>
      </w:pPr>
    </w:p>
    <w:p w:rsidR="00EA4052" w:rsidRPr="00EA4052" w:rsidRDefault="00EA4052" w:rsidP="004E1DDD">
      <w:pPr>
        <w:jc w:val="both"/>
        <w:rPr>
          <w:rFonts w:ascii="Verdana" w:hAnsi="Verdana"/>
          <w:sz w:val="20"/>
          <w:szCs w:val="20"/>
        </w:rPr>
      </w:pPr>
      <w:r w:rsidRPr="00EA4052">
        <w:rPr>
          <w:rFonts w:ascii="Verdana" w:hAnsi="Verdana"/>
          <w:b/>
          <w:sz w:val="20"/>
          <w:szCs w:val="20"/>
        </w:rPr>
        <w:t>4/08 Návrh na spolupráci</w:t>
      </w:r>
      <w:r w:rsidRPr="00EA4052">
        <w:rPr>
          <w:rFonts w:ascii="Verdana" w:hAnsi="Verdana"/>
          <w:sz w:val="20"/>
          <w:szCs w:val="20"/>
        </w:rPr>
        <w:t xml:space="preserve"> </w:t>
      </w:r>
      <w:r w:rsidRPr="00EA4052">
        <w:rPr>
          <w:rFonts w:ascii="Verdana" w:hAnsi="Verdana"/>
          <w:b/>
          <w:sz w:val="20"/>
          <w:szCs w:val="20"/>
        </w:rPr>
        <w:t xml:space="preserve">mezi </w:t>
      </w:r>
      <w:r w:rsidR="00DF2144">
        <w:rPr>
          <w:rFonts w:ascii="Verdana" w:hAnsi="Verdana"/>
          <w:b/>
          <w:sz w:val="20"/>
          <w:szCs w:val="20"/>
        </w:rPr>
        <w:t>TJ</w:t>
      </w:r>
      <w:r w:rsidRPr="00EA4052">
        <w:rPr>
          <w:rFonts w:ascii="Verdana" w:hAnsi="Verdana"/>
          <w:b/>
          <w:sz w:val="20"/>
          <w:szCs w:val="20"/>
        </w:rPr>
        <w:t xml:space="preserve"> Sokol Kutná Hora a Městem Kutná Hora</w:t>
      </w:r>
      <w:r w:rsidRPr="00EA4052">
        <w:rPr>
          <w:rFonts w:ascii="Verdana" w:hAnsi="Verdana"/>
          <w:sz w:val="20"/>
          <w:szCs w:val="20"/>
        </w:rPr>
        <w:t xml:space="preserve"> </w:t>
      </w:r>
    </w:p>
    <w:p w:rsidR="00EA4052" w:rsidRPr="00EA4052" w:rsidRDefault="00EA4052" w:rsidP="004E1DDD">
      <w:pPr>
        <w:jc w:val="both"/>
        <w:rPr>
          <w:rFonts w:ascii="Verdana" w:hAnsi="Verdana"/>
          <w:sz w:val="20"/>
          <w:szCs w:val="20"/>
        </w:rPr>
      </w:pPr>
      <w:r w:rsidRPr="00EA4052">
        <w:rPr>
          <w:rFonts w:ascii="Verdana" w:hAnsi="Verdana"/>
          <w:sz w:val="20"/>
          <w:szCs w:val="20"/>
        </w:rPr>
        <w:t xml:space="preserve">Spolupráce by byla založena na bezplatném využívání prostor tělocvičny v ulici Tyršova kutnohorskými školami za podmínky spolufinancování provozu T. J. Sokol Kutná Hora ze strany Města Kutná Hora, a to ve výši 350 </w:t>
      </w:r>
      <w:proofErr w:type="spellStart"/>
      <w:r w:rsidRPr="00EA4052">
        <w:rPr>
          <w:rFonts w:ascii="Verdana" w:hAnsi="Verdana"/>
          <w:sz w:val="20"/>
          <w:szCs w:val="20"/>
        </w:rPr>
        <w:t>tis.Kč</w:t>
      </w:r>
      <w:proofErr w:type="spellEnd"/>
      <w:r w:rsidRPr="00EA4052">
        <w:rPr>
          <w:rFonts w:ascii="Verdana" w:hAnsi="Verdana"/>
          <w:sz w:val="20"/>
          <w:szCs w:val="20"/>
        </w:rPr>
        <w:t>/rok. Poskytnutí neinvestiční dotace ve výši 1.750 000,-Kč Tělocvičné jednotě Sokol Kutná Hora a schválení veřejnoprávní smlouvy o poskytnutí této dotace na období roků 2022 – 2026.</w:t>
      </w:r>
    </w:p>
    <w:p w:rsidR="00EA4052" w:rsidRPr="00EA4052" w:rsidRDefault="00EA4052" w:rsidP="004E1DDD">
      <w:pPr>
        <w:jc w:val="both"/>
        <w:rPr>
          <w:rFonts w:ascii="Verdana" w:hAnsi="Verdana"/>
          <w:sz w:val="20"/>
          <w:szCs w:val="20"/>
        </w:rPr>
      </w:pPr>
    </w:p>
    <w:p w:rsidR="00EA4052" w:rsidRPr="00EA4052" w:rsidRDefault="00EA4052" w:rsidP="004E1DDD">
      <w:pPr>
        <w:jc w:val="both"/>
        <w:rPr>
          <w:rFonts w:ascii="Verdana" w:hAnsi="Verdana"/>
          <w:b/>
          <w:sz w:val="20"/>
          <w:szCs w:val="20"/>
        </w:rPr>
      </w:pPr>
      <w:r w:rsidRPr="00EA4052">
        <w:rPr>
          <w:rFonts w:ascii="Verdana" w:hAnsi="Verdana"/>
          <w:b/>
          <w:sz w:val="20"/>
          <w:szCs w:val="20"/>
        </w:rPr>
        <w:t>4/09 Informativní zpráva o činnosti neformální pracovní skupiny školství</w:t>
      </w:r>
    </w:p>
    <w:p w:rsidR="00EA4052" w:rsidRPr="00EA4052" w:rsidRDefault="00EA4052" w:rsidP="004E1DDD">
      <w:pPr>
        <w:jc w:val="both"/>
        <w:rPr>
          <w:rFonts w:ascii="Verdana" w:hAnsi="Verdana"/>
          <w:b/>
          <w:sz w:val="20"/>
          <w:szCs w:val="20"/>
        </w:rPr>
      </w:pPr>
      <w:r w:rsidRPr="00EA4052">
        <w:rPr>
          <w:rFonts w:ascii="Verdana" w:hAnsi="Verdana"/>
          <w:sz w:val="20"/>
          <w:szCs w:val="20"/>
        </w:rPr>
        <w:t>Doporučení neformální pracovní skupiny pro školství, vyhodnotit „Strategii vzdělávání Kutné Hory do roku 2018“ všemi zúčastněnými institucemi formou elektronického sběru dat.</w:t>
      </w:r>
    </w:p>
    <w:p w:rsidR="00127F90" w:rsidRDefault="00127F90" w:rsidP="00127F90">
      <w:pPr>
        <w:spacing w:line="276" w:lineRule="auto"/>
        <w:jc w:val="both"/>
        <w:rPr>
          <w:rFonts w:ascii="Verdana" w:hAnsi="Verdana"/>
          <w:b/>
          <w:sz w:val="20"/>
          <w:szCs w:val="20"/>
          <w:u w:val="single"/>
        </w:rPr>
      </w:pPr>
    </w:p>
    <w:p w:rsidR="000309EF" w:rsidRDefault="000309EF" w:rsidP="00127F90">
      <w:pPr>
        <w:spacing w:line="276" w:lineRule="auto"/>
        <w:jc w:val="both"/>
        <w:rPr>
          <w:rFonts w:ascii="Verdana" w:hAnsi="Verdana"/>
          <w:b/>
          <w:sz w:val="20"/>
          <w:szCs w:val="20"/>
          <w:u w:val="single"/>
        </w:rPr>
      </w:pPr>
    </w:p>
    <w:p w:rsidR="004E1DDD" w:rsidRDefault="004E1DDD" w:rsidP="004E1DDD">
      <w:pPr>
        <w:spacing w:line="276" w:lineRule="auto"/>
        <w:jc w:val="both"/>
        <w:rPr>
          <w:rFonts w:ascii="Verdana" w:hAnsi="Verdana"/>
          <w:sz w:val="20"/>
          <w:szCs w:val="20"/>
        </w:rPr>
      </w:pPr>
      <w:r>
        <w:rPr>
          <w:rFonts w:ascii="Verdana" w:hAnsi="Verdana"/>
          <w:b/>
          <w:sz w:val="20"/>
          <w:szCs w:val="20"/>
          <w:u w:val="single"/>
        </w:rPr>
        <w:t>Odbor regionálního rozvoje a územního plánování</w:t>
      </w:r>
    </w:p>
    <w:p w:rsidR="00EB31D5" w:rsidRPr="004E1DDD" w:rsidRDefault="004E1DDD" w:rsidP="00127F90">
      <w:pPr>
        <w:spacing w:line="276" w:lineRule="auto"/>
        <w:jc w:val="both"/>
        <w:rPr>
          <w:rFonts w:ascii="Verdana" w:hAnsi="Verdana"/>
          <w:b/>
          <w:sz w:val="20"/>
          <w:szCs w:val="20"/>
        </w:rPr>
      </w:pPr>
      <w:r w:rsidRPr="004E1DDD">
        <w:rPr>
          <w:rFonts w:ascii="Verdana" w:hAnsi="Verdana"/>
          <w:b/>
          <w:sz w:val="20"/>
          <w:szCs w:val="20"/>
        </w:rPr>
        <w:t>5/01</w:t>
      </w:r>
    </w:p>
    <w:p w:rsidR="00650B92" w:rsidRPr="006437FE" w:rsidRDefault="00650B92" w:rsidP="00650B92">
      <w:pPr>
        <w:jc w:val="both"/>
        <w:rPr>
          <w:rFonts w:ascii="Verdana" w:hAnsi="Verdana"/>
          <w:bCs/>
          <w:sz w:val="20"/>
          <w:szCs w:val="20"/>
        </w:rPr>
      </w:pPr>
      <w:r w:rsidRPr="006437FE">
        <w:rPr>
          <w:rFonts w:ascii="Verdana" w:hAnsi="Verdana"/>
          <w:sz w:val="20"/>
          <w:szCs w:val="20"/>
        </w:rPr>
        <w:t>Zápůjčky z FRB jsou poskytované na základě obecně závazné vyh</w:t>
      </w:r>
      <w:r>
        <w:rPr>
          <w:rFonts w:ascii="Verdana" w:hAnsi="Verdana"/>
          <w:sz w:val="20"/>
          <w:szCs w:val="20"/>
        </w:rPr>
        <w:t>lášky Města Kutné Hory č. 1/2019</w:t>
      </w:r>
      <w:r w:rsidRPr="006437FE">
        <w:rPr>
          <w:rFonts w:ascii="Verdana" w:hAnsi="Verdana"/>
          <w:sz w:val="20"/>
          <w:szCs w:val="20"/>
        </w:rPr>
        <w:t xml:space="preserve"> ze dne 22. </w:t>
      </w:r>
      <w:r>
        <w:rPr>
          <w:rFonts w:ascii="Verdana" w:hAnsi="Verdana"/>
          <w:sz w:val="20"/>
          <w:szCs w:val="20"/>
        </w:rPr>
        <w:t>1</w:t>
      </w:r>
      <w:r w:rsidRPr="006437FE">
        <w:rPr>
          <w:rFonts w:ascii="Verdana" w:hAnsi="Verdana"/>
          <w:sz w:val="20"/>
          <w:szCs w:val="20"/>
        </w:rPr>
        <w:t xml:space="preserve">. </w:t>
      </w:r>
      <w:r>
        <w:rPr>
          <w:rFonts w:ascii="Verdana" w:hAnsi="Verdana"/>
          <w:sz w:val="20"/>
          <w:szCs w:val="20"/>
        </w:rPr>
        <w:t>2019</w:t>
      </w:r>
      <w:r w:rsidRPr="006437FE">
        <w:rPr>
          <w:rFonts w:ascii="Verdana" w:hAnsi="Verdana"/>
          <w:sz w:val="20"/>
          <w:szCs w:val="20"/>
        </w:rPr>
        <w:t xml:space="preserve"> o vytvoření a použití prostředků zvláštního účelového účtu na podporu rozvoje bydlení na území Města Kutná Hora. </w:t>
      </w:r>
      <w:r w:rsidRPr="006437FE">
        <w:rPr>
          <w:rFonts w:ascii="Verdana" w:hAnsi="Verdana"/>
          <w:bCs/>
          <w:sz w:val="20"/>
          <w:szCs w:val="20"/>
        </w:rPr>
        <w:t xml:space="preserve">Jedná se o návratné </w:t>
      </w:r>
      <w:r>
        <w:rPr>
          <w:rFonts w:ascii="Verdana" w:hAnsi="Verdana"/>
          <w:bCs/>
          <w:sz w:val="20"/>
          <w:szCs w:val="20"/>
        </w:rPr>
        <w:t>zá</w:t>
      </w:r>
      <w:r w:rsidRPr="006437FE">
        <w:rPr>
          <w:rFonts w:ascii="Verdana" w:hAnsi="Verdana"/>
          <w:bCs/>
          <w:sz w:val="20"/>
          <w:szCs w:val="20"/>
        </w:rPr>
        <w:t>půjčky určené na opravu a údržbu obytných staveb a na nástavby či vestavby nových bytových jednotek na území města.</w:t>
      </w:r>
    </w:p>
    <w:p w:rsidR="00650B92" w:rsidRPr="006437FE" w:rsidRDefault="00650B92" w:rsidP="00650B92">
      <w:pPr>
        <w:jc w:val="both"/>
        <w:rPr>
          <w:rFonts w:ascii="Verdana" w:hAnsi="Verdana"/>
          <w:sz w:val="20"/>
          <w:szCs w:val="20"/>
        </w:rPr>
      </w:pPr>
      <w:r w:rsidRPr="006437FE">
        <w:rPr>
          <w:rFonts w:ascii="Verdana" w:hAnsi="Verdana"/>
          <w:sz w:val="20"/>
          <w:szCs w:val="20"/>
        </w:rPr>
        <w:t>Na odbor regionálního r</w:t>
      </w:r>
      <w:r>
        <w:rPr>
          <w:rFonts w:ascii="Verdana" w:hAnsi="Verdana"/>
          <w:sz w:val="20"/>
          <w:szCs w:val="20"/>
        </w:rPr>
        <w:t xml:space="preserve">ozvoje a územního plánování byly podány 2 </w:t>
      </w:r>
      <w:r w:rsidRPr="006437FE">
        <w:rPr>
          <w:rFonts w:ascii="Verdana" w:hAnsi="Verdana"/>
          <w:sz w:val="20"/>
          <w:szCs w:val="20"/>
        </w:rPr>
        <w:t>žádost</w:t>
      </w:r>
      <w:r>
        <w:rPr>
          <w:rFonts w:ascii="Verdana" w:hAnsi="Verdana"/>
          <w:sz w:val="20"/>
          <w:szCs w:val="20"/>
        </w:rPr>
        <w:t>i</w:t>
      </w:r>
      <w:r w:rsidRPr="006437FE">
        <w:rPr>
          <w:rFonts w:ascii="Verdana" w:hAnsi="Verdana"/>
          <w:sz w:val="20"/>
          <w:szCs w:val="20"/>
        </w:rPr>
        <w:t xml:space="preserve"> o poskytnutí finančních prostředků z Fondu rozvoje bydlení mimo výběrové řízení. </w:t>
      </w:r>
    </w:p>
    <w:p w:rsidR="00650B92" w:rsidRPr="00650B92" w:rsidRDefault="00650B92" w:rsidP="00650B92">
      <w:pPr>
        <w:autoSpaceDE w:val="0"/>
        <w:autoSpaceDN w:val="0"/>
        <w:adjustRightInd w:val="0"/>
        <w:jc w:val="both"/>
        <w:rPr>
          <w:rFonts w:ascii="Verdana" w:hAnsi="Verdana"/>
          <w:sz w:val="20"/>
          <w:szCs w:val="20"/>
        </w:rPr>
      </w:pPr>
      <w:r w:rsidRPr="006437FE">
        <w:rPr>
          <w:rFonts w:ascii="Verdana" w:hAnsi="Verdana"/>
          <w:sz w:val="20"/>
          <w:szCs w:val="20"/>
        </w:rPr>
        <w:t>Město může dle člán</w:t>
      </w:r>
      <w:r>
        <w:rPr>
          <w:rFonts w:ascii="Verdana" w:hAnsi="Verdana"/>
          <w:sz w:val="20"/>
          <w:szCs w:val="20"/>
        </w:rPr>
        <w:t>ku VIII. odst. 1 vyhlášky 1/2019</w:t>
      </w:r>
      <w:r w:rsidRPr="006437FE">
        <w:rPr>
          <w:rFonts w:ascii="Verdana" w:hAnsi="Verdana"/>
          <w:sz w:val="20"/>
          <w:szCs w:val="20"/>
        </w:rPr>
        <w:t xml:space="preserve">, poskytovat zápůjčky z FRB i mimo </w:t>
      </w:r>
      <w:r w:rsidRPr="00650B92">
        <w:rPr>
          <w:rFonts w:ascii="Verdana" w:hAnsi="Verdana"/>
          <w:sz w:val="20"/>
          <w:szCs w:val="20"/>
        </w:rPr>
        <w:t>VŘ v případě, že je na účtu dostatek finančních prostředků.</w:t>
      </w:r>
    </w:p>
    <w:p w:rsidR="00650B92" w:rsidRPr="00650B92" w:rsidRDefault="00650B92" w:rsidP="00650B92">
      <w:pPr>
        <w:tabs>
          <w:tab w:val="left" w:pos="6690"/>
        </w:tabs>
        <w:rPr>
          <w:rFonts w:ascii="Verdana" w:hAnsi="Verdana"/>
          <w:sz w:val="16"/>
          <w:szCs w:val="16"/>
        </w:rPr>
      </w:pPr>
      <w:r w:rsidRPr="00650B92">
        <w:rPr>
          <w:rFonts w:ascii="Verdana" w:hAnsi="Verdana"/>
          <w:sz w:val="20"/>
          <w:szCs w:val="20"/>
        </w:rPr>
        <w:t>Pro rok 2021 je v rozpočtu vyčleněna na zápůjčky FRB částka 2.400.000 Kč. Do 31.</w:t>
      </w:r>
      <w:r>
        <w:rPr>
          <w:rFonts w:ascii="Verdana" w:hAnsi="Verdana"/>
          <w:sz w:val="20"/>
          <w:szCs w:val="20"/>
        </w:rPr>
        <w:t xml:space="preserve"> </w:t>
      </w:r>
      <w:r w:rsidRPr="00650B92">
        <w:rPr>
          <w:rFonts w:ascii="Verdana" w:hAnsi="Verdana"/>
          <w:sz w:val="20"/>
          <w:szCs w:val="20"/>
        </w:rPr>
        <w:t>4. 2021 bylo žadatelům zapůjčeno 435.000 Kč. V rozpočtu zůstává dostatek financí pro další žadatele.</w:t>
      </w:r>
      <w:r w:rsidRPr="00650B92">
        <w:rPr>
          <w:rFonts w:ascii="Verdana" w:hAnsi="Verdana"/>
          <w:i/>
          <w:sz w:val="16"/>
          <w:szCs w:val="16"/>
        </w:rPr>
        <w:tab/>
      </w:r>
    </w:p>
    <w:p w:rsidR="00650B92" w:rsidRPr="00650B92" w:rsidRDefault="00650B92" w:rsidP="00650B92">
      <w:pPr>
        <w:jc w:val="both"/>
        <w:rPr>
          <w:rFonts w:ascii="Verdana" w:hAnsi="Verdana"/>
          <w:sz w:val="20"/>
          <w:szCs w:val="20"/>
        </w:rPr>
      </w:pPr>
      <w:r w:rsidRPr="00650B92">
        <w:rPr>
          <w:rFonts w:ascii="Verdana" w:hAnsi="Verdana"/>
          <w:sz w:val="20"/>
          <w:szCs w:val="20"/>
        </w:rPr>
        <w:lastRenderedPageBreak/>
        <w:t xml:space="preserve">Odbor regionálního rozvoje a územního plánování doporučuje Zastupitelstvu města výše navrhované usnesení schválit. </w:t>
      </w:r>
    </w:p>
    <w:p w:rsidR="004E1DDD" w:rsidRDefault="004E1DDD" w:rsidP="0083206C">
      <w:pPr>
        <w:spacing w:line="276" w:lineRule="auto"/>
        <w:jc w:val="both"/>
        <w:rPr>
          <w:rFonts w:ascii="Verdana" w:hAnsi="Verdana"/>
          <w:b/>
          <w:sz w:val="20"/>
          <w:szCs w:val="20"/>
          <w:u w:val="single"/>
        </w:rPr>
      </w:pPr>
    </w:p>
    <w:p w:rsidR="000309EF" w:rsidRDefault="000309EF" w:rsidP="0083206C">
      <w:pPr>
        <w:spacing w:line="276" w:lineRule="auto"/>
        <w:jc w:val="both"/>
        <w:rPr>
          <w:rFonts w:ascii="Verdana" w:hAnsi="Verdana"/>
          <w:b/>
          <w:sz w:val="20"/>
          <w:szCs w:val="20"/>
          <w:u w:val="single"/>
        </w:rPr>
      </w:pPr>
    </w:p>
    <w:p w:rsidR="00127F90" w:rsidRDefault="00127F90" w:rsidP="0083206C">
      <w:pPr>
        <w:spacing w:line="276" w:lineRule="auto"/>
        <w:jc w:val="both"/>
        <w:rPr>
          <w:rFonts w:ascii="Verdana" w:hAnsi="Verdana"/>
          <w:sz w:val="20"/>
          <w:szCs w:val="20"/>
        </w:rPr>
      </w:pPr>
      <w:r>
        <w:rPr>
          <w:rFonts w:ascii="Verdana" w:hAnsi="Verdana"/>
          <w:b/>
          <w:sz w:val="20"/>
          <w:szCs w:val="20"/>
          <w:u w:val="single"/>
        </w:rPr>
        <w:t>Odbor investic</w:t>
      </w:r>
      <w:r>
        <w:rPr>
          <w:rFonts w:ascii="Verdana" w:hAnsi="Verdana"/>
          <w:sz w:val="20"/>
          <w:szCs w:val="20"/>
        </w:rPr>
        <w:t xml:space="preserve"> </w:t>
      </w:r>
    </w:p>
    <w:p w:rsidR="0083206C" w:rsidRDefault="0083206C" w:rsidP="0083206C">
      <w:pPr>
        <w:autoSpaceDE w:val="0"/>
        <w:autoSpaceDN w:val="0"/>
        <w:adjustRightInd w:val="0"/>
        <w:spacing w:line="276" w:lineRule="auto"/>
        <w:rPr>
          <w:rFonts w:ascii="Verdana" w:hAnsi="Verdana"/>
          <w:b/>
          <w:bCs/>
          <w:sz w:val="20"/>
          <w:szCs w:val="20"/>
        </w:rPr>
      </w:pPr>
      <w:r>
        <w:rPr>
          <w:rFonts w:ascii="Verdana" w:hAnsi="Verdana"/>
          <w:b/>
          <w:bCs/>
          <w:sz w:val="20"/>
          <w:szCs w:val="20"/>
        </w:rPr>
        <w:t>6/01</w:t>
      </w:r>
      <w:r w:rsidR="004978CD">
        <w:rPr>
          <w:rFonts w:ascii="Verdana" w:hAnsi="Verdana"/>
          <w:b/>
          <w:bCs/>
          <w:sz w:val="20"/>
          <w:szCs w:val="20"/>
        </w:rPr>
        <w:t xml:space="preserve"> </w:t>
      </w:r>
      <w:r w:rsidR="004978CD" w:rsidRPr="00D10489">
        <w:rPr>
          <w:rFonts w:ascii="Verdana" w:hAnsi="Verdana"/>
          <w:b/>
          <w:bCs/>
          <w:sz w:val="20"/>
          <w:szCs w:val="20"/>
        </w:rPr>
        <w:t>Rozpočtové opatření INV č. 07</w:t>
      </w:r>
    </w:p>
    <w:p w:rsidR="00B8779D" w:rsidRPr="00B8779D" w:rsidRDefault="00B8779D" w:rsidP="00B8779D">
      <w:pPr>
        <w:pStyle w:val="Adresanaoblku"/>
        <w:framePr w:w="0" w:h="0" w:hSpace="0" w:wrap="auto" w:vAnchor="margin" w:hAnchor="text" w:xAlign="left" w:yAlign="inline"/>
        <w:jc w:val="both"/>
        <w:rPr>
          <w:rStyle w:val="Siln"/>
          <w:rFonts w:ascii="Verdana" w:hAnsi="Verdana"/>
          <w:b w:val="0"/>
          <w:color w:val="404040"/>
          <w:sz w:val="20"/>
          <w:szCs w:val="20"/>
          <w:shd w:val="clear" w:color="auto" w:fill="FFFFFF"/>
        </w:rPr>
      </w:pPr>
      <w:r w:rsidRPr="00AF3371">
        <w:rPr>
          <w:rFonts w:ascii="Verdana" w:hAnsi="Verdana"/>
          <w:bCs/>
          <w:noProof/>
          <w:sz w:val="20"/>
          <w:szCs w:val="20"/>
        </w:rPr>
        <w:t>Na základě usnesení RM č</w:t>
      </w:r>
      <w:r w:rsidRPr="00B8779D">
        <w:rPr>
          <w:rFonts w:ascii="Verdana" w:hAnsi="Verdana"/>
          <w:bCs/>
          <w:noProof/>
          <w:sz w:val="20"/>
          <w:szCs w:val="20"/>
        </w:rPr>
        <w:t>.</w:t>
      </w:r>
      <w:r w:rsidRPr="00B8779D">
        <w:rPr>
          <w:rStyle w:val="Siln"/>
          <w:rFonts w:ascii="Verdana" w:hAnsi="Verdana"/>
          <w:b w:val="0"/>
          <w:color w:val="404040"/>
          <w:sz w:val="20"/>
          <w:szCs w:val="20"/>
          <w:shd w:val="clear" w:color="auto" w:fill="FFFFFF"/>
        </w:rPr>
        <w:t xml:space="preserve"> 432/21 ze dne </w:t>
      </w:r>
      <w:proofErr w:type="gramStart"/>
      <w:r w:rsidRPr="00B8779D">
        <w:rPr>
          <w:rStyle w:val="Siln"/>
          <w:rFonts w:ascii="Verdana" w:hAnsi="Verdana"/>
          <w:b w:val="0"/>
          <w:color w:val="404040"/>
          <w:sz w:val="20"/>
          <w:szCs w:val="20"/>
          <w:shd w:val="clear" w:color="auto" w:fill="FFFFFF"/>
        </w:rPr>
        <w:t>2.6.2021</w:t>
      </w:r>
      <w:proofErr w:type="gramEnd"/>
      <w:r w:rsidRPr="00B8779D">
        <w:rPr>
          <w:rStyle w:val="Siln"/>
          <w:rFonts w:ascii="Verdana" w:hAnsi="Verdana"/>
          <w:b w:val="0"/>
          <w:color w:val="404040"/>
          <w:sz w:val="20"/>
          <w:szCs w:val="20"/>
          <w:shd w:val="clear" w:color="auto" w:fill="FFFFFF"/>
        </w:rPr>
        <w:t xml:space="preserve"> bylo doporučeno zastupitelstvu města schválit tento materiál – viz důvodová zpráva  - A). </w:t>
      </w:r>
    </w:p>
    <w:p w:rsidR="00B8779D" w:rsidRPr="00B8779D" w:rsidRDefault="00B8779D" w:rsidP="00B8779D">
      <w:pPr>
        <w:pStyle w:val="Adresanaoblku"/>
        <w:framePr w:w="0" w:h="0" w:hSpace="0" w:wrap="auto" w:vAnchor="margin" w:hAnchor="text" w:xAlign="left" w:yAlign="inline"/>
        <w:jc w:val="both"/>
        <w:rPr>
          <w:rStyle w:val="Siln"/>
          <w:rFonts w:ascii="Verdana" w:hAnsi="Verdana"/>
          <w:b w:val="0"/>
          <w:color w:val="404040"/>
          <w:sz w:val="20"/>
          <w:szCs w:val="20"/>
          <w:shd w:val="clear" w:color="auto" w:fill="FFFFFF"/>
        </w:rPr>
      </w:pPr>
      <w:r w:rsidRPr="00B8779D">
        <w:rPr>
          <w:rStyle w:val="Siln"/>
          <w:rFonts w:ascii="Verdana" w:hAnsi="Verdana"/>
          <w:b w:val="0"/>
          <w:color w:val="404040"/>
          <w:sz w:val="20"/>
          <w:szCs w:val="20"/>
          <w:shd w:val="clear" w:color="auto" w:fill="FFFFFF"/>
        </w:rPr>
        <w:t xml:space="preserve">Související důvodovou zprávou k tomuto materiálu v RM bylo také uzavření dodatku ke smlouvě o dílo na stavbu </w:t>
      </w:r>
      <w:proofErr w:type="spellStart"/>
      <w:r w:rsidRPr="00B8779D">
        <w:rPr>
          <w:rStyle w:val="Siln"/>
          <w:rFonts w:ascii="Verdana" w:hAnsi="Verdana"/>
          <w:b w:val="0"/>
          <w:color w:val="404040"/>
          <w:sz w:val="20"/>
          <w:szCs w:val="20"/>
          <w:shd w:val="clear" w:color="auto" w:fill="FFFFFF"/>
        </w:rPr>
        <w:t>Sankturinovského</w:t>
      </w:r>
      <w:proofErr w:type="spellEnd"/>
      <w:r w:rsidRPr="00B8779D">
        <w:rPr>
          <w:rStyle w:val="Siln"/>
          <w:rFonts w:ascii="Verdana" w:hAnsi="Verdana"/>
          <w:b w:val="0"/>
          <w:color w:val="404040"/>
          <w:sz w:val="20"/>
          <w:szCs w:val="20"/>
          <w:shd w:val="clear" w:color="auto" w:fill="FFFFFF"/>
        </w:rPr>
        <w:t xml:space="preserve"> domu. Tento text také přikládáme  - B).</w:t>
      </w:r>
    </w:p>
    <w:p w:rsidR="00B8779D" w:rsidRPr="00AF3371" w:rsidRDefault="00B8779D" w:rsidP="00B8779D">
      <w:pPr>
        <w:pStyle w:val="Adresanaoblku"/>
        <w:framePr w:w="0" w:h="0" w:hSpace="0" w:wrap="auto" w:vAnchor="margin" w:hAnchor="text" w:xAlign="left" w:yAlign="inline"/>
        <w:jc w:val="both"/>
        <w:rPr>
          <w:rFonts w:ascii="Verdana" w:hAnsi="Verdana"/>
          <w:bCs/>
          <w:noProof/>
          <w:sz w:val="20"/>
          <w:szCs w:val="20"/>
        </w:rPr>
      </w:pPr>
      <w:r w:rsidRPr="00AF3371">
        <w:rPr>
          <w:rFonts w:ascii="Verdana" w:hAnsi="Verdana"/>
          <w:bCs/>
          <w:noProof/>
          <w:sz w:val="20"/>
          <w:szCs w:val="20"/>
        </w:rPr>
        <w:t>A)</w:t>
      </w:r>
    </w:p>
    <w:p w:rsidR="00B8779D" w:rsidRPr="00AF3371" w:rsidRDefault="00B8779D" w:rsidP="00B8779D">
      <w:pPr>
        <w:pStyle w:val="Adresanaoblku"/>
        <w:framePr w:w="0" w:h="0" w:hSpace="0" w:wrap="auto" w:vAnchor="margin" w:hAnchor="text" w:xAlign="left" w:yAlign="inline"/>
        <w:jc w:val="both"/>
        <w:rPr>
          <w:rFonts w:ascii="Verdana" w:hAnsi="Verdana"/>
          <w:color w:val="FF0000"/>
          <w:sz w:val="20"/>
          <w:szCs w:val="20"/>
        </w:rPr>
      </w:pPr>
      <w:r w:rsidRPr="00AF3371">
        <w:rPr>
          <w:rFonts w:ascii="Verdana" w:hAnsi="Verdana"/>
          <w:bCs/>
          <w:noProof/>
          <w:sz w:val="20"/>
          <w:szCs w:val="20"/>
        </w:rPr>
        <w:t>Akce - Revitalizace NKP Vlašský dvůr v Kutné Hoře byla dokončena v listopadu 2020 a cel</w:t>
      </w:r>
      <w:r w:rsidRPr="00AF3371">
        <w:rPr>
          <w:rFonts w:ascii="Verdana" w:hAnsi="Verdana"/>
          <w:sz w:val="20"/>
          <w:szCs w:val="20"/>
        </w:rPr>
        <w:t xml:space="preserve">á akce byla tedy ze strany města v tomto roce také dofinancována. Zároveň byla zaslána poskytovateli dotace žádost o platbu č. 8  jako úhrada  již profinancovaných nákladů této akce. V letošním roce, kdy byla dotační platba ve výši 1.940.650,21 Kč poukázána městu, již nejsou tyto finanční prostředky potřeba na revitalizaci NKP VD. Proto navrhujeme převod těchto financí na položku další revitalizace městského objektu a to </w:t>
      </w:r>
      <w:proofErr w:type="spellStart"/>
      <w:r w:rsidRPr="00AF3371">
        <w:rPr>
          <w:rFonts w:ascii="Verdana" w:hAnsi="Verdana"/>
          <w:sz w:val="20"/>
          <w:szCs w:val="20"/>
        </w:rPr>
        <w:t>Sankturinovského</w:t>
      </w:r>
      <w:proofErr w:type="spellEnd"/>
      <w:r w:rsidRPr="00AF3371">
        <w:rPr>
          <w:rFonts w:ascii="Verdana" w:hAnsi="Verdana"/>
          <w:sz w:val="20"/>
          <w:szCs w:val="20"/>
        </w:rPr>
        <w:t xml:space="preserve"> domu. V současné době je rozpočet na tuto akci rozdělen do let 2021 až 2022 a to dle předpokládaného harmonogramu prací a také předpokládaného příjmu jednotlivých dotačních plateb. Již v tuto chvíli nastaly u této akce nepředpokládané výdaje nad rámec projektu (azbest) a to ve výši 731.455,- Kč. Jelikož jsme v tuto chvíli s revitalizací tohoto objektu na začátku a po zkušenostech s rekonstrukcí jiných starších objektů města lze předpokládat další doposud neznámé nálezy, potažmo změny, navrhujeme tuto položku rozpočtu posílit.</w:t>
      </w:r>
      <w:r w:rsidRPr="00AF3371">
        <w:rPr>
          <w:rFonts w:ascii="Verdana" w:hAnsi="Verdana"/>
          <w:color w:val="FF0000"/>
          <w:sz w:val="20"/>
          <w:szCs w:val="20"/>
        </w:rPr>
        <w:t xml:space="preserve"> </w:t>
      </w:r>
    </w:p>
    <w:p w:rsidR="00B8779D" w:rsidRPr="00AF3371" w:rsidRDefault="00B8779D" w:rsidP="00B8779D">
      <w:pPr>
        <w:pStyle w:val="Adresanaoblku"/>
        <w:framePr w:w="0" w:h="0" w:hSpace="0" w:wrap="auto" w:vAnchor="margin" w:hAnchor="text" w:xAlign="left" w:yAlign="inline"/>
        <w:jc w:val="both"/>
        <w:rPr>
          <w:rFonts w:ascii="Verdana" w:hAnsi="Verdana"/>
          <w:sz w:val="20"/>
          <w:szCs w:val="20"/>
        </w:rPr>
      </w:pPr>
      <w:r w:rsidRPr="00AF3371">
        <w:rPr>
          <w:rFonts w:ascii="Verdana" w:hAnsi="Verdana"/>
          <w:sz w:val="20"/>
          <w:szCs w:val="20"/>
        </w:rPr>
        <w:t xml:space="preserve">Rozpočtové opatření bylo konzultováno s Ing. Monikou </w:t>
      </w:r>
      <w:proofErr w:type="spellStart"/>
      <w:r w:rsidRPr="00AF3371">
        <w:rPr>
          <w:rFonts w:ascii="Verdana" w:hAnsi="Verdana"/>
          <w:sz w:val="20"/>
          <w:szCs w:val="20"/>
        </w:rPr>
        <w:t>Bulánkovou</w:t>
      </w:r>
      <w:proofErr w:type="spellEnd"/>
      <w:r w:rsidRPr="00AF3371">
        <w:rPr>
          <w:rFonts w:ascii="Verdana" w:hAnsi="Verdana"/>
          <w:sz w:val="20"/>
          <w:szCs w:val="20"/>
        </w:rPr>
        <w:t xml:space="preserve"> – vedoucí ekonomického odboru.</w:t>
      </w:r>
    </w:p>
    <w:p w:rsidR="00B8779D" w:rsidRPr="00AF3371" w:rsidRDefault="00B8779D" w:rsidP="00B8779D">
      <w:pPr>
        <w:jc w:val="both"/>
        <w:rPr>
          <w:rFonts w:ascii="Verdana" w:hAnsi="Verdana"/>
          <w:sz w:val="20"/>
          <w:szCs w:val="20"/>
        </w:rPr>
      </w:pPr>
      <w:r w:rsidRPr="00AF3371">
        <w:rPr>
          <w:rFonts w:ascii="Verdana" w:hAnsi="Verdana"/>
          <w:sz w:val="20"/>
          <w:szCs w:val="20"/>
        </w:rPr>
        <w:t>B)</w:t>
      </w:r>
    </w:p>
    <w:p w:rsidR="00B8779D" w:rsidRPr="00AF3371" w:rsidRDefault="00B8779D" w:rsidP="00B8779D">
      <w:pPr>
        <w:pStyle w:val="Bezmezer"/>
        <w:rPr>
          <w:szCs w:val="20"/>
        </w:rPr>
      </w:pPr>
      <w:r w:rsidRPr="00AF3371">
        <w:rPr>
          <w:szCs w:val="20"/>
        </w:rPr>
        <w:t xml:space="preserve">Projekt uvažoval s výskytem a likvidací asbestového odvětrávacího potrubí rozsahem dle projektové dokumentace. </w:t>
      </w:r>
    </w:p>
    <w:p w:rsidR="00B8779D" w:rsidRPr="00AF3371" w:rsidRDefault="00B8779D" w:rsidP="00B8779D">
      <w:pPr>
        <w:pStyle w:val="Bezmezer"/>
        <w:rPr>
          <w:szCs w:val="20"/>
        </w:rPr>
      </w:pPr>
      <w:r w:rsidRPr="00AF3371">
        <w:rPr>
          <w:szCs w:val="20"/>
        </w:rPr>
        <w:t xml:space="preserve">Jelikož byl objekt v době zpracování projektu plně v provozu a využíván, nebylo možné provedení destruktivních sond do stoupacích odvětrávacích šachet procházejících přes jednotlivá podlaží v prostoru bývalých sociálních zařízení a kuchyněk. Odhad vycházel z praxe, jak se odvětrání minulosti provádělo (stoupačka obvykle byla </w:t>
      </w:r>
      <w:proofErr w:type="spellStart"/>
      <w:r w:rsidRPr="00AF3371">
        <w:rPr>
          <w:szCs w:val="20"/>
        </w:rPr>
        <w:t>vyvložkována</w:t>
      </w:r>
      <w:proofErr w:type="spellEnd"/>
      <w:r w:rsidRPr="00AF3371">
        <w:rPr>
          <w:szCs w:val="20"/>
        </w:rPr>
        <w:t xml:space="preserve"> jedním vedením asbestocementového potrubí nejčastěji průměrem cca 150mm-do které byly v jednotlivých patrech napojeny odbočky od jednotlivých odvětrávaných prostor). Projekt tedy dle výšky jednotlivých podlaží a stoupaček odhadl množství 45m potrubí, které bylo pro hlavní budovu </w:t>
      </w:r>
      <w:proofErr w:type="spellStart"/>
      <w:r w:rsidRPr="00AF3371">
        <w:rPr>
          <w:szCs w:val="20"/>
        </w:rPr>
        <w:t>Sankturinovského</w:t>
      </w:r>
      <w:proofErr w:type="spellEnd"/>
      <w:r w:rsidRPr="00AF3371">
        <w:rPr>
          <w:szCs w:val="20"/>
        </w:rPr>
        <w:t xml:space="preserve"> domu v dodavatelem  oceněném výkazu výměr zahrnuto (3000 Kč,- bez DPH/1m potrubí).</w:t>
      </w:r>
    </w:p>
    <w:p w:rsidR="00B8779D" w:rsidRPr="00AF3371" w:rsidRDefault="00B8779D" w:rsidP="00B8779D">
      <w:pPr>
        <w:pStyle w:val="Bezmezer"/>
        <w:rPr>
          <w:szCs w:val="20"/>
        </w:rPr>
      </w:pPr>
      <w:r w:rsidRPr="00AF3371">
        <w:rPr>
          <w:szCs w:val="20"/>
        </w:rPr>
        <w:t>Při realizaci likvidace tohoto nebezpečného odpadu odbornou firmou, bylo po vysekání otvorů pro demontáže potrubí zjištěno, že stoupací šachty jsou doslova vyskládány dvěma až šesti profily asbestocementového odvětrávacího potrubí.</w:t>
      </w:r>
    </w:p>
    <w:p w:rsidR="00B8779D" w:rsidRPr="00AF3371" w:rsidRDefault="00B8779D" w:rsidP="00B8779D">
      <w:pPr>
        <w:pStyle w:val="Bezmezer"/>
        <w:rPr>
          <w:szCs w:val="20"/>
        </w:rPr>
      </w:pPr>
      <w:r w:rsidRPr="00AF3371">
        <w:rPr>
          <w:szCs w:val="20"/>
        </w:rPr>
        <w:t>Tímto došlo k několikanásobnému nárůstu výměry likvidovaného nebezpečného odpadu oproti předpokladu projektu. Jedná se konkrétně o 201,5m azbestocementového potrubí navíc.</w:t>
      </w:r>
    </w:p>
    <w:p w:rsidR="00B8779D" w:rsidRPr="00AF3371" w:rsidRDefault="00B8779D" w:rsidP="00B8779D">
      <w:pPr>
        <w:pStyle w:val="Bezmezer"/>
        <w:rPr>
          <w:szCs w:val="20"/>
        </w:rPr>
      </w:pPr>
      <w:r w:rsidRPr="00AF3371">
        <w:rPr>
          <w:szCs w:val="20"/>
        </w:rPr>
        <w:t>Jelikož se jedná o velmi nebezpečný odpad, není jiné řešení než budovu vyčistit a zajistit tak budoucí bezproblémové a nezávadné užívání.</w:t>
      </w:r>
    </w:p>
    <w:p w:rsidR="00B8779D" w:rsidRPr="00AF3371" w:rsidRDefault="00B8779D" w:rsidP="00B8779D">
      <w:pPr>
        <w:pStyle w:val="Bezmezer"/>
        <w:rPr>
          <w:noProof/>
          <w:szCs w:val="20"/>
        </w:rPr>
      </w:pPr>
      <w:r w:rsidRPr="00AF3371">
        <w:rPr>
          <w:szCs w:val="20"/>
        </w:rPr>
        <w:t>Cena za likvidaci tohoto materiálu nad rámec rozpočtu stavby vycházela z jednotkové ceny ze smlouvy o dílo. Položka je povahy uznatelných nákladů</w:t>
      </w:r>
      <w:r w:rsidRPr="00AF3371">
        <w:rPr>
          <w:noProof/>
          <w:szCs w:val="20"/>
        </w:rPr>
        <w:t>.</w:t>
      </w:r>
    </w:p>
    <w:p w:rsidR="0083206C" w:rsidRDefault="0083206C" w:rsidP="0083206C">
      <w:pPr>
        <w:autoSpaceDE w:val="0"/>
        <w:autoSpaceDN w:val="0"/>
        <w:adjustRightInd w:val="0"/>
        <w:spacing w:line="276" w:lineRule="auto"/>
        <w:rPr>
          <w:rFonts w:ascii="Verdana" w:hAnsi="Verdana"/>
          <w:b/>
          <w:bCs/>
          <w:sz w:val="20"/>
          <w:szCs w:val="20"/>
        </w:rPr>
      </w:pPr>
    </w:p>
    <w:p w:rsidR="0083206C" w:rsidRDefault="0083206C" w:rsidP="0083206C">
      <w:pPr>
        <w:autoSpaceDE w:val="0"/>
        <w:autoSpaceDN w:val="0"/>
        <w:adjustRightInd w:val="0"/>
        <w:spacing w:line="276" w:lineRule="auto"/>
        <w:rPr>
          <w:rFonts w:ascii="Verdana" w:hAnsi="Verdana"/>
          <w:b/>
          <w:sz w:val="20"/>
          <w:szCs w:val="20"/>
        </w:rPr>
      </w:pPr>
      <w:r>
        <w:rPr>
          <w:rFonts w:ascii="Verdana" w:hAnsi="Verdana"/>
          <w:b/>
          <w:bCs/>
          <w:sz w:val="20"/>
          <w:szCs w:val="20"/>
        </w:rPr>
        <w:t>6/50</w:t>
      </w:r>
      <w:r>
        <w:rPr>
          <w:rFonts w:ascii="Verdana" w:hAnsi="Verdana"/>
          <w:b/>
          <w:bCs/>
          <w:sz w:val="20"/>
          <w:szCs w:val="20"/>
        </w:rPr>
        <w:tab/>
      </w:r>
      <w:r w:rsidRPr="0068389B">
        <w:rPr>
          <w:rFonts w:ascii="Verdana" w:hAnsi="Verdana"/>
          <w:b/>
          <w:sz w:val="20"/>
          <w:szCs w:val="20"/>
        </w:rPr>
        <w:t>Obecně závazná vyhláška Města Kutná Hora č. 3/2021</w:t>
      </w:r>
    </w:p>
    <w:p w:rsidR="0083206C" w:rsidRDefault="0083206C" w:rsidP="0083206C">
      <w:pPr>
        <w:autoSpaceDE w:val="0"/>
        <w:autoSpaceDN w:val="0"/>
        <w:adjustRightInd w:val="0"/>
        <w:spacing w:line="276" w:lineRule="auto"/>
        <w:rPr>
          <w:rFonts w:ascii="Verdana" w:hAnsi="Verdana"/>
          <w:sz w:val="20"/>
          <w:szCs w:val="20"/>
        </w:rPr>
      </w:pPr>
      <w:r>
        <w:rPr>
          <w:rFonts w:ascii="Verdana" w:hAnsi="Verdana"/>
          <w:sz w:val="20"/>
          <w:szCs w:val="20"/>
        </w:rPr>
        <w:t>K vydání Vyhlášky dochází na základě podnětu vedení města ve věci plánovaného odpuštění místního poplatku za umístění restauračních stolků (předzahrádek)</w:t>
      </w:r>
      <w:r w:rsidRPr="004E58B8">
        <w:rPr>
          <w:rFonts w:ascii="Verdana" w:hAnsi="Verdana"/>
          <w:sz w:val="20"/>
          <w:szCs w:val="20"/>
        </w:rPr>
        <w:t xml:space="preserve"> </w:t>
      </w:r>
      <w:r>
        <w:rPr>
          <w:rFonts w:ascii="Verdana" w:hAnsi="Verdana"/>
          <w:sz w:val="20"/>
          <w:szCs w:val="20"/>
        </w:rPr>
        <w:t xml:space="preserve">do konce roku 2021, přesněji v termínu od </w:t>
      </w:r>
      <w:proofErr w:type="gramStart"/>
      <w:r>
        <w:rPr>
          <w:rFonts w:ascii="Verdana" w:hAnsi="Verdana"/>
          <w:sz w:val="20"/>
          <w:szCs w:val="20"/>
        </w:rPr>
        <w:t>1.7.2021</w:t>
      </w:r>
      <w:proofErr w:type="gramEnd"/>
      <w:r>
        <w:rPr>
          <w:rFonts w:ascii="Verdana" w:hAnsi="Verdana"/>
          <w:sz w:val="20"/>
          <w:szCs w:val="20"/>
        </w:rPr>
        <w:t xml:space="preserve"> do 31.12.2021 (6 měsíců).</w:t>
      </w:r>
    </w:p>
    <w:p w:rsidR="00B8779D" w:rsidRDefault="00B8779D" w:rsidP="0083206C">
      <w:pPr>
        <w:autoSpaceDE w:val="0"/>
        <w:autoSpaceDN w:val="0"/>
        <w:adjustRightInd w:val="0"/>
        <w:spacing w:line="276" w:lineRule="auto"/>
        <w:rPr>
          <w:rFonts w:ascii="Verdana" w:hAnsi="Verdana"/>
          <w:sz w:val="20"/>
          <w:szCs w:val="20"/>
        </w:rPr>
      </w:pPr>
    </w:p>
    <w:p w:rsidR="00B8779D" w:rsidRDefault="00B8779D" w:rsidP="00B8779D">
      <w:pPr>
        <w:ind w:right="279"/>
        <w:rPr>
          <w:rFonts w:ascii="Verdana" w:hAnsi="Verdana"/>
          <w:sz w:val="20"/>
          <w:szCs w:val="20"/>
        </w:rPr>
      </w:pPr>
      <w:r>
        <w:rPr>
          <w:rFonts w:ascii="Verdana" w:hAnsi="Verdana"/>
          <w:b/>
          <w:sz w:val="20"/>
          <w:szCs w:val="20"/>
        </w:rPr>
        <w:t xml:space="preserve">6/51 </w:t>
      </w:r>
      <w:r w:rsidRPr="00B06890">
        <w:rPr>
          <w:rFonts w:ascii="Verdana" w:hAnsi="Verdana"/>
          <w:b/>
          <w:sz w:val="20"/>
          <w:szCs w:val="20"/>
        </w:rPr>
        <w:t>Smlouva o budoucí smlouvě kupní – teplovody a stanice</w:t>
      </w:r>
      <w:r>
        <w:rPr>
          <w:rFonts w:ascii="Verdana" w:hAnsi="Verdana"/>
          <w:b/>
          <w:sz w:val="20"/>
          <w:szCs w:val="20"/>
        </w:rPr>
        <w:t xml:space="preserve"> </w:t>
      </w:r>
      <w:r w:rsidRPr="00B06890">
        <w:rPr>
          <w:rFonts w:ascii="Verdana" w:hAnsi="Verdana"/>
          <w:b/>
          <w:sz w:val="20"/>
          <w:szCs w:val="20"/>
        </w:rPr>
        <w:t>Benešova ulice</w:t>
      </w:r>
    </w:p>
    <w:p w:rsidR="00B8779D" w:rsidRDefault="00B8779D" w:rsidP="00B8779D">
      <w:pPr>
        <w:pStyle w:val="Zkladntext2"/>
        <w:spacing w:after="0" w:line="240" w:lineRule="auto"/>
        <w:rPr>
          <w:rFonts w:ascii="Verdana" w:hAnsi="Verdana"/>
          <w:sz w:val="20"/>
          <w:szCs w:val="20"/>
        </w:rPr>
      </w:pPr>
      <w:r>
        <w:rPr>
          <w:rFonts w:ascii="Verdana" w:hAnsi="Verdana"/>
          <w:sz w:val="20"/>
          <w:szCs w:val="20"/>
        </w:rPr>
        <w:t xml:space="preserve">Společnost </w:t>
      </w:r>
      <w:proofErr w:type="spellStart"/>
      <w:r>
        <w:rPr>
          <w:rFonts w:ascii="Verdana" w:hAnsi="Verdana"/>
          <w:sz w:val="20"/>
          <w:szCs w:val="20"/>
        </w:rPr>
        <w:t>Luxury</w:t>
      </w:r>
      <w:proofErr w:type="spellEnd"/>
      <w:r>
        <w:rPr>
          <w:rFonts w:ascii="Verdana" w:hAnsi="Verdana"/>
          <w:sz w:val="20"/>
          <w:szCs w:val="20"/>
        </w:rPr>
        <w:t xml:space="preserve"> </w:t>
      </w:r>
      <w:proofErr w:type="spellStart"/>
      <w:r>
        <w:rPr>
          <w:rFonts w:ascii="Verdana" w:hAnsi="Verdana"/>
          <w:sz w:val="20"/>
          <w:szCs w:val="20"/>
        </w:rPr>
        <w:t>Home</w:t>
      </w:r>
      <w:proofErr w:type="spellEnd"/>
      <w:r>
        <w:rPr>
          <w:rFonts w:ascii="Verdana" w:hAnsi="Verdana"/>
          <w:sz w:val="20"/>
          <w:szCs w:val="20"/>
        </w:rPr>
        <w:t xml:space="preserve"> – </w:t>
      </w:r>
      <w:proofErr w:type="spellStart"/>
      <w:r>
        <w:rPr>
          <w:rFonts w:ascii="Verdana" w:hAnsi="Verdana"/>
          <w:sz w:val="20"/>
          <w:szCs w:val="20"/>
        </w:rPr>
        <w:t>Gamma</w:t>
      </w:r>
      <w:proofErr w:type="spellEnd"/>
      <w:r>
        <w:rPr>
          <w:rFonts w:ascii="Verdana" w:hAnsi="Verdana"/>
          <w:sz w:val="20"/>
          <w:szCs w:val="20"/>
        </w:rPr>
        <w:t xml:space="preserve"> s.r.o. z Mariánských Lázní je investorem výstavby bytových domů v ulici Benešova. Jedná se celkem o 10 bytových domů se 146 bytovými jednotkami.</w:t>
      </w:r>
    </w:p>
    <w:p w:rsidR="00B8779D" w:rsidRDefault="00B8779D" w:rsidP="00B8779D">
      <w:pPr>
        <w:pStyle w:val="Zkladntext2"/>
        <w:spacing w:after="0" w:line="240" w:lineRule="auto"/>
        <w:rPr>
          <w:rFonts w:ascii="Verdana" w:hAnsi="Verdana"/>
          <w:sz w:val="20"/>
          <w:szCs w:val="20"/>
        </w:rPr>
      </w:pPr>
      <w:r>
        <w:rPr>
          <w:rFonts w:ascii="Verdana" w:hAnsi="Verdana"/>
          <w:sz w:val="20"/>
          <w:szCs w:val="20"/>
        </w:rPr>
        <w:lastRenderedPageBreak/>
        <w:t xml:space="preserve">Investor tímto splňuje podmínku Města Kutná Hora (dále jen Město), že objekty budou napojeny na soustavu CZT.  V rámci výstavby bude položeno předizolované teplovodní potrubí ISOPLUS- DN40 – DN125 (viz příloha </w:t>
      </w:r>
      <w:proofErr w:type="gramStart"/>
      <w:r>
        <w:rPr>
          <w:rFonts w:ascii="Verdana" w:hAnsi="Verdana"/>
          <w:sz w:val="20"/>
          <w:szCs w:val="20"/>
        </w:rPr>
        <w:t>č.1) s kabelovou</w:t>
      </w:r>
      <w:proofErr w:type="gramEnd"/>
      <w:r>
        <w:rPr>
          <w:rFonts w:ascii="Verdana" w:hAnsi="Verdana"/>
          <w:sz w:val="20"/>
          <w:szCs w:val="20"/>
        </w:rPr>
        <w:t xml:space="preserve"> metalickou sítí pro sběr a přenos dat z objektových předávacích stanic do centrálního dispečinku umístěného v kotelně Hlouška. Předmětem smlouvy je i osazení předávacích objektových stanic napojených na primární teplovodní potrubí prostřednictvím samostatných přípojek pro jednotlivé domy. Stanice budou osazeny včetně strojního a zabezpečovacího zařízení, měření a regulace. </w:t>
      </w:r>
    </w:p>
    <w:p w:rsidR="00B8779D" w:rsidRDefault="00B8779D" w:rsidP="00B8779D">
      <w:pPr>
        <w:pStyle w:val="Zkladntext2"/>
        <w:spacing w:after="0" w:line="240" w:lineRule="auto"/>
        <w:rPr>
          <w:rFonts w:ascii="Verdana" w:hAnsi="Verdana"/>
          <w:sz w:val="20"/>
          <w:szCs w:val="20"/>
        </w:rPr>
      </w:pPr>
      <w:r>
        <w:rPr>
          <w:rFonts w:ascii="Verdana" w:hAnsi="Verdana"/>
          <w:sz w:val="20"/>
          <w:szCs w:val="20"/>
        </w:rPr>
        <w:t>Spoluúčast Města je vyčíslena částkou 4</w:t>
      </w:r>
      <w:r w:rsidR="004978CD">
        <w:rPr>
          <w:rFonts w:ascii="Verdana" w:hAnsi="Verdana"/>
          <w:sz w:val="20"/>
          <w:szCs w:val="20"/>
        </w:rPr>
        <w:t xml:space="preserve">.500.000 </w:t>
      </w:r>
      <w:r>
        <w:rPr>
          <w:rFonts w:ascii="Verdana" w:hAnsi="Verdana"/>
          <w:sz w:val="20"/>
          <w:szCs w:val="20"/>
        </w:rPr>
        <w:t>Kč bez DPH, která bude proplacena z Fondu tepelného hospodářství.</w:t>
      </w:r>
    </w:p>
    <w:p w:rsidR="00B8779D" w:rsidRDefault="00B8779D" w:rsidP="0083206C">
      <w:pPr>
        <w:autoSpaceDE w:val="0"/>
        <w:autoSpaceDN w:val="0"/>
        <w:adjustRightInd w:val="0"/>
        <w:spacing w:line="276" w:lineRule="auto"/>
        <w:rPr>
          <w:rFonts w:ascii="Verdana" w:hAnsi="Verdana"/>
          <w:sz w:val="20"/>
          <w:szCs w:val="20"/>
        </w:rPr>
      </w:pPr>
    </w:p>
    <w:p w:rsidR="00127F90" w:rsidRDefault="00127F90" w:rsidP="0083206C">
      <w:pPr>
        <w:spacing w:line="276" w:lineRule="auto"/>
        <w:jc w:val="both"/>
        <w:rPr>
          <w:rFonts w:ascii="Verdana" w:hAnsi="Verdana"/>
          <w:b/>
          <w:sz w:val="20"/>
          <w:szCs w:val="20"/>
          <w:u w:val="single"/>
        </w:rPr>
      </w:pPr>
    </w:p>
    <w:p w:rsidR="00D71E34" w:rsidRDefault="00D71E34" w:rsidP="0083206C">
      <w:pPr>
        <w:spacing w:line="276" w:lineRule="auto"/>
        <w:jc w:val="both"/>
        <w:rPr>
          <w:rFonts w:ascii="Verdana" w:hAnsi="Verdana"/>
          <w:b/>
          <w:sz w:val="20"/>
          <w:szCs w:val="20"/>
          <w:u w:val="single"/>
        </w:rPr>
      </w:pPr>
      <w:r>
        <w:rPr>
          <w:rFonts w:ascii="Verdana" w:hAnsi="Verdana"/>
          <w:b/>
          <w:sz w:val="20"/>
          <w:szCs w:val="20"/>
          <w:u w:val="single"/>
        </w:rPr>
        <w:t xml:space="preserve">Oddělení </w:t>
      </w:r>
      <w:proofErr w:type="spellStart"/>
      <w:r>
        <w:rPr>
          <w:rFonts w:ascii="Verdana" w:hAnsi="Verdana"/>
          <w:b/>
          <w:sz w:val="20"/>
          <w:szCs w:val="20"/>
          <w:u w:val="single"/>
        </w:rPr>
        <w:t>inerního</w:t>
      </w:r>
      <w:proofErr w:type="spellEnd"/>
      <w:r>
        <w:rPr>
          <w:rFonts w:ascii="Verdana" w:hAnsi="Verdana"/>
          <w:b/>
          <w:sz w:val="20"/>
          <w:szCs w:val="20"/>
          <w:u w:val="single"/>
        </w:rPr>
        <w:t xml:space="preserve"> auditu</w:t>
      </w:r>
    </w:p>
    <w:p w:rsidR="000309EF" w:rsidRDefault="000309EF" w:rsidP="0083206C">
      <w:pPr>
        <w:spacing w:line="276" w:lineRule="auto"/>
        <w:jc w:val="both"/>
        <w:rPr>
          <w:rFonts w:ascii="Verdana" w:hAnsi="Verdana"/>
          <w:b/>
          <w:sz w:val="20"/>
          <w:szCs w:val="20"/>
          <w:u w:val="single"/>
        </w:rPr>
      </w:pPr>
    </w:p>
    <w:p w:rsidR="004978CD" w:rsidRDefault="00D71E34" w:rsidP="004978CD">
      <w:pPr>
        <w:spacing w:line="276" w:lineRule="auto"/>
        <w:jc w:val="both"/>
        <w:rPr>
          <w:rFonts w:ascii="Verdana" w:hAnsi="Verdana"/>
          <w:b/>
          <w:sz w:val="20"/>
          <w:szCs w:val="20"/>
        </w:rPr>
      </w:pPr>
      <w:r w:rsidRPr="00D71E34">
        <w:rPr>
          <w:rFonts w:ascii="Verdana" w:hAnsi="Verdana"/>
          <w:b/>
          <w:sz w:val="20"/>
          <w:szCs w:val="20"/>
        </w:rPr>
        <w:t>8/01</w:t>
      </w:r>
      <w:r w:rsidR="004978CD">
        <w:rPr>
          <w:rFonts w:ascii="Verdana" w:hAnsi="Verdana"/>
          <w:b/>
          <w:sz w:val="20"/>
          <w:szCs w:val="20"/>
        </w:rPr>
        <w:t xml:space="preserve"> Obecně závazná vyhláška Města Kutná Hora č. 04/2021 </w:t>
      </w:r>
    </w:p>
    <w:p w:rsidR="00B8779D" w:rsidRPr="00CC2666" w:rsidRDefault="00B8779D" w:rsidP="004978CD">
      <w:pPr>
        <w:spacing w:line="276" w:lineRule="auto"/>
        <w:jc w:val="both"/>
        <w:rPr>
          <w:rFonts w:ascii="Verdana" w:hAnsi="Verdana"/>
          <w:sz w:val="20"/>
          <w:szCs w:val="20"/>
        </w:rPr>
      </w:pPr>
      <w:r w:rsidRPr="004978CD">
        <w:rPr>
          <w:rFonts w:ascii="Verdana" w:hAnsi="Verdana"/>
          <w:sz w:val="20"/>
          <w:szCs w:val="20"/>
        </w:rPr>
        <w:t>Obecně závazná vyhláška Města Kutná Hora č. 02/2018, o nočním klidu, byla vydána usnesením ZM č. 60/2018 ze dne 13. 3. 201</w:t>
      </w:r>
      <w:r w:rsidR="004978CD">
        <w:rPr>
          <w:rFonts w:ascii="Verdana" w:hAnsi="Verdana"/>
          <w:sz w:val="20"/>
          <w:szCs w:val="20"/>
        </w:rPr>
        <w:t xml:space="preserve">8. </w:t>
      </w:r>
      <w:r w:rsidRPr="00CC2666">
        <w:rPr>
          <w:rFonts w:ascii="Verdana" w:hAnsi="Verdana"/>
          <w:sz w:val="20"/>
          <w:szCs w:val="20"/>
        </w:rPr>
        <w:t>Touto Obecně závaznou vyhláškou (dále jen „OZV“) jsou stanoveny výjimky z obecně platného ustanovení o nočním klidu, který je standardně od 22:00 do 06:00 hod. Seznam výjimek, resp. stanovení dnů, ve kterých je výjimečně zkrácena doba nočního klidu, je uveden v </w:t>
      </w:r>
      <w:r w:rsidRPr="00CC2666">
        <w:rPr>
          <w:rFonts w:ascii="Verdana" w:hAnsi="Verdana"/>
          <w:sz w:val="20"/>
          <w:szCs w:val="20"/>
          <w:u w:val="single"/>
        </w:rPr>
        <w:t>Příloze č. 1</w:t>
      </w:r>
      <w:r w:rsidRPr="00CC2666">
        <w:rPr>
          <w:rFonts w:ascii="Verdana" w:hAnsi="Verdana"/>
          <w:sz w:val="20"/>
          <w:szCs w:val="20"/>
        </w:rPr>
        <w:t xml:space="preserve"> této OZV. Tato příloha se</w:t>
      </w:r>
      <w:r>
        <w:rPr>
          <w:rFonts w:ascii="Verdana" w:hAnsi="Verdana"/>
          <w:sz w:val="20"/>
          <w:szCs w:val="20"/>
        </w:rPr>
        <w:t xml:space="preserve"> dle potřeby, obvykle</w:t>
      </w:r>
      <w:r w:rsidRPr="00CC2666">
        <w:rPr>
          <w:rFonts w:ascii="Verdana" w:hAnsi="Verdana"/>
          <w:sz w:val="20"/>
          <w:szCs w:val="20"/>
        </w:rPr>
        <w:t xml:space="preserve"> minimálně 1x ročně</w:t>
      </w:r>
      <w:r>
        <w:rPr>
          <w:rFonts w:ascii="Verdana" w:hAnsi="Verdana"/>
          <w:sz w:val="20"/>
          <w:szCs w:val="20"/>
        </w:rPr>
        <w:t>,</w:t>
      </w:r>
      <w:r w:rsidRPr="00CC2666">
        <w:rPr>
          <w:rFonts w:ascii="Verdana" w:hAnsi="Verdana"/>
          <w:sz w:val="20"/>
          <w:szCs w:val="20"/>
        </w:rPr>
        <w:t xml:space="preserve"> aktualizuje formou novelizace původní OZV</w:t>
      </w:r>
      <w:r>
        <w:rPr>
          <w:rFonts w:ascii="Verdana" w:hAnsi="Verdana"/>
          <w:sz w:val="20"/>
          <w:szCs w:val="20"/>
        </w:rPr>
        <w:t xml:space="preserve"> č. 02/2018</w:t>
      </w:r>
      <w:r w:rsidRPr="00CC2666">
        <w:rPr>
          <w:rFonts w:ascii="Verdana" w:hAnsi="Verdana"/>
          <w:sz w:val="20"/>
          <w:szCs w:val="20"/>
        </w:rPr>
        <w:t>.</w:t>
      </w:r>
    </w:p>
    <w:p w:rsidR="00B8779D" w:rsidRPr="00701759" w:rsidRDefault="00B8779D" w:rsidP="00B8779D">
      <w:pPr>
        <w:jc w:val="both"/>
        <w:rPr>
          <w:rFonts w:ascii="Verdana" w:hAnsi="Verdana"/>
          <w:sz w:val="10"/>
          <w:szCs w:val="10"/>
        </w:rPr>
      </w:pPr>
    </w:p>
    <w:p w:rsidR="00B8779D" w:rsidRPr="00CC2666" w:rsidRDefault="00B8779D" w:rsidP="00B8779D">
      <w:pPr>
        <w:jc w:val="both"/>
        <w:rPr>
          <w:rFonts w:ascii="Verdana" w:hAnsi="Verdana"/>
          <w:sz w:val="20"/>
          <w:szCs w:val="20"/>
        </w:rPr>
      </w:pPr>
      <w:r w:rsidRPr="00CC2666">
        <w:rPr>
          <w:rFonts w:ascii="Verdana" w:hAnsi="Verdana"/>
          <w:sz w:val="20"/>
          <w:szCs w:val="20"/>
        </w:rPr>
        <w:t xml:space="preserve">Předloženou OZV č. </w:t>
      </w:r>
      <w:r>
        <w:rPr>
          <w:rFonts w:ascii="Verdana" w:hAnsi="Verdana"/>
          <w:sz w:val="20"/>
          <w:szCs w:val="20"/>
        </w:rPr>
        <w:t>04</w:t>
      </w:r>
      <w:r w:rsidRPr="00CC2666">
        <w:rPr>
          <w:rFonts w:ascii="Verdana" w:hAnsi="Verdana"/>
          <w:sz w:val="20"/>
          <w:szCs w:val="20"/>
        </w:rPr>
        <w:t>/20</w:t>
      </w:r>
      <w:r>
        <w:rPr>
          <w:rFonts w:ascii="Verdana" w:hAnsi="Verdana"/>
          <w:sz w:val="20"/>
          <w:szCs w:val="20"/>
        </w:rPr>
        <w:t>21</w:t>
      </w:r>
      <w:r w:rsidRPr="00CC2666">
        <w:rPr>
          <w:rFonts w:ascii="Verdana" w:hAnsi="Verdana"/>
          <w:sz w:val="20"/>
          <w:szCs w:val="20"/>
        </w:rPr>
        <w:t xml:space="preserve"> je aktualizována pouze zmíněná Příloha č. 1, ostatní ustanovení původní OZV č. </w:t>
      </w:r>
      <w:r>
        <w:rPr>
          <w:rFonts w:ascii="Verdana" w:hAnsi="Verdana"/>
          <w:sz w:val="20"/>
          <w:szCs w:val="20"/>
        </w:rPr>
        <w:t>0</w:t>
      </w:r>
      <w:r w:rsidRPr="00CC2666">
        <w:rPr>
          <w:rFonts w:ascii="Verdana" w:hAnsi="Verdana"/>
          <w:sz w:val="20"/>
          <w:szCs w:val="20"/>
        </w:rPr>
        <w:t>2/201</w:t>
      </w:r>
      <w:r>
        <w:rPr>
          <w:rFonts w:ascii="Verdana" w:hAnsi="Verdana"/>
          <w:sz w:val="20"/>
          <w:szCs w:val="20"/>
        </w:rPr>
        <w:t>8</w:t>
      </w:r>
      <w:r w:rsidRPr="00CC2666">
        <w:rPr>
          <w:rFonts w:ascii="Verdana" w:hAnsi="Verdana"/>
          <w:sz w:val="20"/>
          <w:szCs w:val="20"/>
        </w:rPr>
        <w:t xml:space="preserve"> se nemění.</w:t>
      </w:r>
    </w:p>
    <w:p w:rsidR="00B8779D" w:rsidRPr="00701759" w:rsidRDefault="00B8779D" w:rsidP="00B8779D">
      <w:pPr>
        <w:jc w:val="both"/>
        <w:rPr>
          <w:rFonts w:ascii="Verdana" w:hAnsi="Verdana"/>
          <w:sz w:val="10"/>
          <w:szCs w:val="10"/>
        </w:rPr>
      </w:pPr>
    </w:p>
    <w:p w:rsidR="00B8779D" w:rsidRPr="00CC2666" w:rsidRDefault="00B8779D" w:rsidP="00B8779D">
      <w:pPr>
        <w:jc w:val="both"/>
        <w:rPr>
          <w:rFonts w:ascii="Verdana" w:hAnsi="Verdana"/>
          <w:iCs/>
          <w:sz w:val="20"/>
          <w:szCs w:val="20"/>
        </w:rPr>
      </w:pPr>
      <w:r w:rsidRPr="00CC2666">
        <w:rPr>
          <w:rFonts w:ascii="Verdana" w:hAnsi="Verdana"/>
          <w:sz w:val="20"/>
          <w:szCs w:val="20"/>
        </w:rPr>
        <w:t xml:space="preserve">Pokud jde o konkrétní akce, resp. dny, na které je </w:t>
      </w:r>
      <w:r>
        <w:rPr>
          <w:rFonts w:ascii="Verdana" w:hAnsi="Verdana"/>
          <w:sz w:val="20"/>
          <w:szCs w:val="20"/>
        </w:rPr>
        <w:t xml:space="preserve">navrženo udělení </w:t>
      </w:r>
      <w:r w:rsidRPr="00CC2666">
        <w:rPr>
          <w:rFonts w:ascii="Verdana" w:hAnsi="Verdana"/>
          <w:sz w:val="20"/>
          <w:szCs w:val="20"/>
        </w:rPr>
        <w:t>výjimk</w:t>
      </w:r>
      <w:r>
        <w:rPr>
          <w:rFonts w:ascii="Verdana" w:hAnsi="Verdana"/>
          <w:sz w:val="20"/>
          <w:szCs w:val="20"/>
        </w:rPr>
        <w:t>y</w:t>
      </w:r>
      <w:r w:rsidRPr="00CC2666">
        <w:rPr>
          <w:rFonts w:ascii="Verdana" w:hAnsi="Verdana"/>
          <w:sz w:val="20"/>
          <w:szCs w:val="20"/>
        </w:rPr>
        <w:t xml:space="preserve">, jde převážně </w:t>
      </w:r>
      <w:r>
        <w:rPr>
          <w:rFonts w:ascii="Verdana" w:hAnsi="Verdana"/>
          <w:sz w:val="20"/>
          <w:szCs w:val="20"/>
        </w:rPr>
        <w:br/>
      </w:r>
      <w:r w:rsidRPr="00CC2666">
        <w:rPr>
          <w:rFonts w:ascii="Verdana" w:hAnsi="Verdana"/>
          <w:sz w:val="20"/>
          <w:szCs w:val="20"/>
        </w:rPr>
        <w:t xml:space="preserve">o tradiční akce pořádané opakovaně již </w:t>
      </w:r>
      <w:r>
        <w:rPr>
          <w:rFonts w:ascii="Verdana" w:hAnsi="Verdana"/>
          <w:sz w:val="20"/>
          <w:szCs w:val="20"/>
        </w:rPr>
        <w:t>mnoho</w:t>
      </w:r>
      <w:r w:rsidRPr="00CC2666">
        <w:rPr>
          <w:rFonts w:ascii="Verdana" w:hAnsi="Verdana"/>
          <w:sz w:val="20"/>
          <w:szCs w:val="20"/>
        </w:rPr>
        <w:t xml:space="preserve"> let. </w:t>
      </w:r>
    </w:p>
    <w:p w:rsidR="00B8779D" w:rsidRPr="00701759" w:rsidRDefault="00B8779D" w:rsidP="00B8779D">
      <w:pPr>
        <w:jc w:val="both"/>
        <w:rPr>
          <w:rFonts w:ascii="Verdana" w:hAnsi="Verdana"/>
          <w:iCs/>
          <w:sz w:val="10"/>
          <w:szCs w:val="10"/>
        </w:rPr>
      </w:pPr>
    </w:p>
    <w:p w:rsidR="00B8779D" w:rsidRDefault="00B8779D" w:rsidP="00B8779D">
      <w:pPr>
        <w:jc w:val="both"/>
        <w:rPr>
          <w:rFonts w:ascii="Verdana" w:hAnsi="Verdana"/>
          <w:iCs/>
          <w:sz w:val="20"/>
          <w:szCs w:val="20"/>
        </w:rPr>
      </w:pPr>
      <w:r w:rsidRPr="00CC2666">
        <w:rPr>
          <w:rFonts w:ascii="Verdana" w:hAnsi="Verdana"/>
          <w:iCs/>
          <w:sz w:val="20"/>
          <w:szCs w:val="20"/>
        </w:rPr>
        <w:t xml:space="preserve">K obsahu novelizované Přílohy č. 1 ještě </w:t>
      </w:r>
      <w:r>
        <w:rPr>
          <w:rFonts w:ascii="Verdana" w:hAnsi="Verdana"/>
          <w:iCs/>
          <w:sz w:val="20"/>
          <w:szCs w:val="20"/>
        </w:rPr>
        <w:t xml:space="preserve">obecně </w:t>
      </w:r>
      <w:r w:rsidRPr="00CC2666">
        <w:rPr>
          <w:rFonts w:ascii="Verdana" w:hAnsi="Verdana"/>
          <w:iCs/>
          <w:sz w:val="20"/>
          <w:szCs w:val="20"/>
        </w:rPr>
        <w:t>doplňuji, že údaje v</w:t>
      </w:r>
      <w:r>
        <w:rPr>
          <w:rFonts w:ascii="Verdana" w:hAnsi="Verdana"/>
          <w:iCs/>
          <w:sz w:val="20"/>
          <w:szCs w:val="20"/>
        </w:rPr>
        <w:t> </w:t>
      </w:r>
      <w:r w:rsidRPr="00CC2666">
        <w:rPr>
          <w:rFonts w:ascii="Verdana" w:hAnsi="Verdana"/>
          <w:iCs/>
          <w:sz w:val="20"/>
          <w:szCs w:val="20"/>
        </w:rPr>
        <w:t>kolonkách</w:t>
      </w:r>
      <w:r>
        <w:rPr>
          <w:rFonts w:ascii="Verdana" w:hAnsi="Verdana"/>
          <w:iCs/>
          <w:sz w:val="20"/>
          <w:szCs w:val="20"/>
        </w:rPr>
        <w:t xml:space="preserve"> </w:t>
      </w:r>
      <w:r w:rsidRPr="00CC2666">
        <w:rPr>
          <w:rFonts w:ascii="Verdana" w:hAnsi="Verdana"/>
          <w:iCs/>
          <w:sz w:val="20"/>
          <w:szCs w:val="20"/>
        </w:rPr>
        <w:t xml:space="preserve">„Název akce“ a „Poznámka“ jsou uvedeny pouze pro </w:t>
      </w:r>
      <w:r>
        <w:rPr>
          <w:rFonts w:ascii="Verdana" w:hAnsi="Verdana"/>
          <w:iCs/>
          <w:sz w:val="20"/>
          <w:szCs w:val="20"/>
        </w:rPr>
        <w:t xml:space="preserve">snadnější </w:t>
      </w:r>
      <w:r w:rsidRPr="00CC2666">
        <w:rPr>
          <w:rFonts w:ascii="Verdana" w:hAnsi="Verdana"/>
          <w:iCs/>
          <w:sz w:val="20"/>
          <w:szCs w:val="20"/>
        </w:rPr>
        <w:t>orientaci, nejdůležitějším</w:t>
      </w:r>
      <w:r>
        <w:rPr>
          <w:rFonts w:ascii="Verdana" w:hAnsi="Verdana"/>
          <w:iCs/>
          <w:sz w:val="20"/>
          <w:szCs w:val="20"/>
        </w:rPr>
        <w:t>i</w:t>
      </w:r>
      <w:r w:rsidRPr="00CC2666">
        <w:rPr>
          <w:rFonts w:ascii="Verdana" w:hAnsi="Verdana"/>
          <w:iCs/>
          <w:sz w:val="20"/>
          <w:szCs w:val="20"/>
        </w:rPr>
        <w:t xml:space="preserve"> údaj</w:t>
      </w:r>
      <w:r>
        <w:rPr>
          <w:rFonts w:ascii="Verdana" w:hAnsi="Verdana"/>
          <w:iCs/>
          <w:sz w:val="20"/>
          <w:szCs w:val="20"/>
        </w:rPr>
        <w:t>i</w:t>
      </w:r>
      <w:r w:rsidRPr="00CC2666">
        <w:rPr>
          <w:rFonts w:ascii="Verdana" w:hAnsi="Verdana"/>
          <w:iCs/>
          <w:sz w:val="20"/>
          <w:szCs w:val="20"/>
        </w:rPr>
        <w:t xml:space="preserve"> jsou data, resp. dny, ve kterých je povolena výjimka ze standardní doby nočního klidu. Výjimky se neudělují konkrétní</w:t>
      </w:r>
      <w:r>
        <w:rPr>
          <w:rFonts w:ascii="Verdana" w:hAnsi="Verdana"/>
          <w:iCs/>
          <w:sz w:val="20"/>
          <w:szCs w:val="20"/>
        </w:rPr>
        <w:t>m</w:t>
      </w:r>
      <w:r w:rsidRPr="00CC2666">
        <w:rPr>
          <w:rFonts w:ascii="Verdana" w:hAnsi="Verdana"/>
          <w:iCs/>
          <w:sz w:val="20"/>
          <w:szCs w:val="20"/>
        </w:rPr>
        <w:t xml:space="preserve"> akc</w:t>
      </w:r>
      <w:r>
        <w:rPr>
          <w:rFonts w:ascii="Verdana" w:hAnsi="Verdana"/>
          <w:iCs/>
          <w:sz w:val="20"/>
          <w:szCs w:val="20"/>
        </w:rPr>
        <w:t>ím</w:t>
      </w:r>
      <w:r w:rsidRPr="00CC2666">
        <w:rPr>
          <w:rFonts w:ascii="Verdana" w:hAnsi="Verdana"/>
          <w:iCs/>
          <w:sz w:val="20"/>
          <w:szCs w:val="20"/>
        </w:rPr>
        <w:t xml:space="preserve"> ani konkrétním pořadatel</w:t>
      </w:r>
      <w:r>
        <w:rPr>
          <w:rFonts w:ascii="Verdana" w:hAnsi="Verdana"/>
          <w:iCs/>
          <w:sz w:val="20"/>
          <w:szCs w:val="20"/>
        </w:rPr>
        <w:t>ům</w:t>
      </w:r>
      <w:r w:rsidRPr="00CC2666">
        <w:rPr>
          <w:rFonts w:ascii="Verdana" w:hAnsi="Verdana"/>
          <w:iCs/>
          <w:sz w:val="20"/>
          <w:szCs w:val="20"/>
        </w:rPr>
        <w:t>, ale na konkrétní dny a jsou platné pro celé teritorium města</w:t>
      </w:r>
      <w:r>
        <w:rPr>
          <w:rFonts w:ascii="Verdana" w:hAnsi="Verdana"/>
          <w:iCs/>
          <w:sz w:val="20"/>
          <w:szCs w:val="20"/>
        </w:rPr>
        <w:t xml:space="preserve"> Kutná Hora</w:t>
      </w:r>
      <w:r w:rsidRPr="00CC2666">
        <w:rPr>
          <w:rFonts w:ascii="Verdana" w:hAnsi="Verdana"/>
          <w:iCs/>
          <w:sz w:val="20"/>
          <w:szCs w:val="20"/>
        </w:rPr>
        <w:t xml:space="preserve">. </w:t>
      </w:r>
    </w:p>
    <w:p w:rsidR="00B8779D" w:rsidRPr="004B04BD" w:rsidRDefault="00B8779D" w:rsidP="00B8779D">
      <w:pPr>
        <w:jc w:val="both"/>
        <w:rPr>
          <w:rFonts w:ascii="Verdana" w:hAnsi="Verdana"/>
          <w:iCs/>
          <w:sz w:val="10"/>
          <w:szCs w:val="10"/>
        </w:rPr>
      </w:pPr>
    </w:p>
    <w:p w:rsidR="00B8779D" w:rsidRDefault="00B8779D" w:rsidP="00B8779D">
      <w:pPr>
        <w:jc w:val="both"/>
        <w:rPr>
          <w:rFonts w:ascii="Verdana" w:hAnsi="Verdana"/>
          <w:iCs/>
          <w:sz w:val="20"/>
          <w:szCs w:val="20"/>
        </w:rPr>
      </w:pPr>
      <w:r>
        <w:rPr>
          <w:rFonts w:ascii="Verdana" w:hAnsi="Verdana"/>
          <w:iCs/>
          <w:sz w:val="20"/>
          <w:szCs w:val="20"/>
        </w:rPr>
        <w:t xml:space="preserve">Vzhledem ke skutečnosti, že první akce, na kterou je požadována výjimka, se koná již 26. 6. 2021, je v čl. 5 účinnost předložené OZV stanovena z důvodu naléhavého obecného zájmu dnem vyhlášení, nikoliv 15. dnem po dni vyhlášení, jak bývá obvyklé. </w:t>
      </w:r>
    </w:p>
    <w:p w:rsidR="00B8779D" w:rsidRDefault="00B8779D" w:rsidP="00B8779D">
      <w:pPr>
        <w:jc w:val="both"/>
        <w:rPr>
          <w:rFonts w:ascii="Verdana" w:hAnsi="Verdana"/>
          <w:iCs/>
          <w:sz w:val="20"/>
          <w:szCs w:val="20"/>
        </w:rPr>
      </w:pPr>
    </w:p>
    <w:p w:rsidR="00B8779D" w:rsidRDefault="00B8779D" w:rsidP="00B8779D">
      <w:pPr>
        <w:jc w:val="both"/>
        <w:rPr>
          <w:rFonts w:ascii="Verdana" w:hAnsi="Verdana"/>
          <w:b/>
          <w:iCs/>
          <w:sz w:val="20"/>
          <w:szCs w:val="20"/>
        </w:rPr>
      </w:pPr>
      <w:r w:rsidRPr="00B8779D">
        <w:rPr>
          <w:rFonts w:ascii="Verdana" w:hAnsi="Verdana"/>
          <w:b/>
          <w:iCs/>
          <w:sz w:val="20"/>
          <w:szCs w:val="20"/>
        </w:rPr>
        <w:t>8/02</w:t>
      </w:r>
      <w:r w:rsidR="004978CD">
        <w:rPr>
          <w:rFonts w:ascii="Verdana" w:hAnsi="Verdana"/>
          <w:b/>
          <w:iCs/>
          <w:sz w:val="20"/>
          <w:szCs w:val="20"/>
        </w:rPr>
        <w:t xml:space="preserve"> </w:t>
      </w:r>
      <w:r w:rsidR="004978CD">
        <w:rPr>
          <w:rFonts w:ascii="Verdana" w:hAnsi="Verdana"/>
          <w:b/>
          <w:sz w:val="20"/>
          <w:szCs w:val="20"/>
        </w:rPr>
        <w:t>Zápis z jednání Kontrolního výboru č. KV-15/2021 ze dne  8. 6. 2021</w:t>
      </w:r>
    </w:p>
    <w:p w:rsidR="00B8779D" w:rsidRDefault="00B8779D" w:rsidP="00B8779D">
      <w:pPr>
        <w:spacing w:line="276" w:lineRule="auto"/>
        <w:jc w:val="both"/>
        <w:rPr>
          <w:rFonts w:ascii="Verdana" w:hAnsi="Verdana"/>
          <w:sz w:val="20"/>
          <w:szCs w:val="20"/>
        </w:rPr>
      </w:pPr>
      <w:r w:rsidRPr="009B13C8">
        <w:rPr>
          <w:rFonts w:ascii="Verdana" w:hAnsi="Verdana"/>
          <w:sz w:val="20"/>
          <w:szCs w:val="20"/>
        </w:rPr>
        <w:t xml:space="preserve">K projednání </w:t>
      </w:r>
      <w:r>
        <w:rPr>
          <w:rFonts w:ascii="Verdana" w:hAnsi="Verdana"/>
          <w:sz w:val="20"/>
          <w:szCs w:val="20"/>
        </w:rPr>
        <w:t xml:space="preserve">a vzetí na vědomí </w:t>
      </w:r>
      <w:proofErr w:type="gramStart"/>
      <w:r>
        <w:rPr>
          <w:rFonts w:ascii="Verdana" w:hAnsi="Verdana"/>
          <w:sz w:val="20"/>
          <w:szCs w:val="20"/>
        </w:rPr>
        <w:t>je</w:t>
      </w:r>
      <w:proofErr w:type="gramEnd"/>
      <w:r>
        <w:rPr>
          <w:rFonts w:ascii="Verdana" w:hAnsi="Verdana"/>
          <w:sz w:val="20"/>
          <w:szCs w:val="20"/>
        </w:rPr>
        <w:t xml:space="preserve"> </w:t>
      </w:r>
      <w:r w:rsidRPr="009B13C8">
        <w:rPr>
          <w:rFonts w:ascii="Verdana" w:hAnsi="Verdana"/>
          <w:sz w:val="20"/>
          <w:szCs w:val="20"/>
        </w:rPr>
        <w:t>Zastupitelstv</w:t>
      </w:r>
      <w:r>
        <w:rPr>
          <w:rFonts w:ascii="Verdana" w:hAnsi="Verdana"/>
          <w:sz w:val="20"/>
          <w:szCs w:val="20"/>
        </w:rPr>
        <w:t>u</w:t>
      </w:r>
      <w:r w:rsidRPr="009B13C8">
        <w:rPr>
          <w:rFonts w:ascii="Verdana" w:hAnsi="Verdana"/>
          <w:sz w:val="20"/>
          <w:szCs w:val="20"/>
        </w:rPr>
        <w:t xml:space="preserve"> města</w:t>
      </w:r>
      <w:r>
        <w:rPr>
          <w:rFonts w:ascii="Verdana" w:hAnsi="Verdana"/>
          <w:sz w:val="20"/>
          <w:szCs w:val="20"/>
        </w:rPr>
        <w:t xml:space="preserve"> Kutná Hora</w:t>
      </w:r>
      <w:r w:rsidRPr="009B13C8">
        <w:rPr>
          <w:rFonts w:ascii="Verdana" w:hAnsi="Verdana"/>
          <w:sz w:val="20"/>
          <w:szCs w:val="20"/>
        </w:rPr>
        <w:t xml:space="preserve"> </w:t>
      </w:r>
      <w:proofErr w:type="gramStart"/>
      <w:r w:rsidRPr="009B13C8">
        <w:rPr>
          <w:rFonts w:ascii="Verdana" w:hAnsi="Verdana"/>
          <w:sz w:val="20"/>
          <w:szCs w:val="20"/>
        </w:rPr>
        <w:t>je</w:t>
      </w:r>
      <w:proofErr w:type="gramEnd"/>
      <w:r w:rsidRPr="009B13C8">
        <w:rPr>
          <w:rFonts w:ascii="Verdana" w:hAnsi="Verdana"/>
          <w:sz w:val="20"/>
          <w:szCs w:val="20"/>
        </w:rPr>
        <w:t xml:space="preserve"> předkládán zápis </w:t>
      </w:r>
      <w:r>
        <w:rPr>
          <w:rFonts w:ascii="Verdana" w:hAnsi="Verdana"/>
          <w:sz w:val="20"/>
          <w:szCs w:val="20"/>
        </w:rPr>
        <w:t xml:space="preserve">z posledního zasedání </w:t>
      </w:r>
      <w:r w:rsidRPr="009B13C8">
        <w:rPr>
          <w:rFonts w:ascii="Verdana" w:hAnsi="Verdana"/>
          <w:sz w:val="20"/>
          <w:szCs w:val="20"/>
        </w:rPr>
        <w:t>Kontrolního výboru</w:t>
      </w:r>
      <w:r>
        <w:rPr>
          <w:rFonts w:ascii="Verdana" w:hAnsi="Verdana"/>
          <w:sz w:val="20"/>
          <w:szCs w:val="20"/>
        </w:rPr>
        <w:t xml:space="preserve"> </w:t>
      </w:r>
      <w:r w:rsidRPr="009B13C8">
        <w:rPr>
          <w:rFonts w:ascii="Verdana" w:hAnsi="Verdana"/>
          <w:sz w:val="20"/>
          <w:szCs w:val="20"/>
        </w:rPr>
        <w:t>č. KV-1</w:t>
      </w:r>
      <w:r>
        <w:rPr>
          <w:rFonts w:ascii="Verdana" w:hAnsi="Verdana"/>
          <w:sz w:val="20"/>
          <w:szCs w:val="20"/>
        </w:rPr>
        <w:t>5</w:t>
      </w:r>
      <w:r w:rsidRPr="009B13C8">
        <w:rPr>
          <w:rFonts w:ascii="Verdana" w:hAnsi="Verdana"/>
          <w:sz w:val="20"/>
          <w:szCs w:val="20"/>
        </w:rPr>
        <w:t xml:space="preserve">/2021 ze dne </w:t>
      </w:r>
      <w:r>
        <w:rPr>
          <w:rFonts w:ascii="Verdana" w:hAnsi="Verdana"/>
          <w:sz w:val="20"/>
          <w:szCs w:val="20"/>
        </w:rPr>
        <w:t>8</w:t>
      </w:r>
      <w:r w:rsidRPr="009B13C8">
        <w:rPr>
          <w:rFonts w:ascii="Verdana" w:hAnsi="Verdana"/>
          <w:sz w:val="20"/>
          <w:szCs w:val="20"/>
        </w:rPr>
        <w:t>.</w:t>
      </w:r>
      <w:r>
        <w:rPr>
          <w:rFonts w:ascii="Verdana" w:hAnsi="Verdana"/>
          <w:sz w:val="20"/>
          <w:szCs w:val="20"/>
        </w:rPr>
        <w:t xml:space="preserve"> 6</w:t>
      </w:r>
      <w:r w:rsidRPr="009B13C8">
        <w:rPr>
          <w:rFonts w:ascii="Verdana" w:hAnsi="Verdana"/>
          <w:sz w:val="20"/>
          <w:szCs w:val="20"/>
        </w:rPr>
        <w:t>.</w:t>
      </w:r>
      <w:r>
        <w:rPr>
          <w:rFonts w:ascii="Verdana" w:hAnsi="Verdana"/>
          <w:sz w:val="20"/>
          <w:szCs w:val="20"/>
        </w:rPr>
        <w:t xml:space="preserve"> </w:t>
      </w:r>
      <w:r w:rsidRPr="009B13C8">
        <w:rPr>
          <w:rFonts w:ascii="Verdana" w:hAnsi="Verdana"/>
          <w:sz w:val="20"/>
          <w:szCs w:val="20"/>
        </w:rPr>
        <w:t>2021</w:t>
      </w:r>
      <w:r>
        <w:rPr>
          <w:rFonts w:ascii="Verdana" w:hAnsi="Verdana"/>
          <w:sz w:val="20"/>
          <w:szCs w:val="20"/>
        </w:rPr>
        <w:t>, který je přílohou tohoto dokumentu</w:t>
      </w:r>
      <w:r w:rsidRPr="009B13C8">
        <w:rPr>
          <w:rFonts w:ascii="Verdana" w:hAnsi="Verdana"/>
          <w:sz w:val="20"/>
          <w:szCs w:val="20"/>
        </w:rPr>
        <w:t>.</w:t>
      </w:r>
    </w:p>
    <w:p w:rsidR="00B8779D" w:rsidRPr="00B8779D" w:rsidRDefault="00B8779D" w:rsidP="0083206C">
      <w:pPr>
        <w:spacing w:line="276" w:lineRule="auto"/>
        <w:jc w:val="both"/>
        <w:rPr>
          <w:rFonts w:ascii="Verdana" w:hAnsi="Verdana"/>
          <w:sz w:val="20"/>
          <w:szCs w:val="20"/>
        </w:rPr>
      </w:pPr>
    </w:p>
    <w:p w:rsidR="00D71E34" w:rsidRDefault="00D71E34" w:rsidP="0083206C">
      <w:pPr>
        <w:spacing w:line="276" w:lineRule="auto"/>
        <w:jc w:val="both"/>
        <w:rPr>
          <w:rFonts w:ascii="Verdana" w:hAnsi="Verdana"/>
          <w:b/>
          <w:sz w:val="20"/>
          <w:szCs w:val="20"/>
          <w:u w:val="single"/>
        </w:rPr>
      </w:pPr>
    </w:p>
    <w:p w:rsidR="00127F90" w:rsidRDefault="00127F90" w:rsidP="0083206C">
      <w:pPr>
        <w:spacing w:line="276" w:lineRule="auto"/>
        <w:jc w:val="both"/>
        <w:rPr>
          <w:rFonts w:ascii="Verdana" w:hAnsi="Verdana"/>
          <w:b/>
          <w:sz w:val="20"/>
          <w:szCs w:val="20"/>
          <w:u w:val="single"/>
        </w:rPr>
      </w:pPr>
      <w:r w:rsidRPr="003C1DA0">
        <w:rPr>
          <w:rFonts w:ascii="Verdana" w:hAnsi="Verdana"/>
          <w:b/>
          <w:sz w:val="20"/>
          <w:szCs w:val="20"/>
          <w:u w:val="single"/>
        </w:rPr>
        <w:t xml:space="preserve">Odbor </w:t>
      </w:r>
      <w:r w:rsidR="004E1DDD">
        <w:rPr>
          <w:rFonts w:ascii="Verdana" w:hAnsi="Verdana"/>
          <w:b/>
          <w:sz w:val="20"/>
          <w:szCs w:val="20"/>
          <w:u w:val="single"/>
        </w:rPr>
        <w:t>dopravy a silničního hospodářství</w:t>
      </w:r>
    </w:p>
    <w:p w:rsidR="000309EF" w:rsidRPr="003C1DA0" w:rsidRDefault="000309EF" w:rsidP="0083206C">
      <w:pPr>
        <w:spacing w:line="276" w:lineRule="auto"/>
        <w:jc w:val="both"/>
        <w:rPr>
          <w:rFonts w:ascii="Verdana" w:hAnsi="Verdana"/>
          <w:b/>
          <w:sz w:val="20"/>
          <w:szCs w:val="20"/>
          <w:u w:val="single"/>
        </w:rPr>
      </w:pPr>
    </w:p>
    <w:p w:rsidR="004978CD" w:rsidRDefault="004978CD" w:rsidP="004978CD">
      <w:pPr>
        <w:rPr>
          <w:rFonts w:ascii="Verdana" w:hAnsi="Verdana"/>
          <w:b/>
          <w:bCs/>
          <w:sz w:val="20"/>
          <w:szCs w:val="20"/>
          <w:lang w:eastAsia="cs-CZ"/>
        </w:rPr>
      </w:pPr>
      <w:r>
        <w:rPr>
          <w:rFonts w:ascii="Verdana" w:hAnsi="Verdana"/>
          <w:b/>
          <w:bCs/>
          <w:sz w:val="20"/>
          <w:szCs w:val="20"/>
        </w:rPr>
        <w:t>10/01 Dodatek č. 1 ke smlouvě o prodloužení některých linek MHD do Hlízova</w:t>
      </w:r>
    </w:p>
    <w:p w:rsidR="004978CD" w:rsidRDefault="004978CD" w:rsidP="004978CD">
      <w:pPr>
        <w:jc w:val="both"/>
        <w:rPr>
          <w:rFonts w:ascii="Verdana" w:hAnsi="Verdana"/>
          <w:sz w:val="20"/>
          <w:szCs w:val="20"/>
        </w:rPr>
      </w:pPr>
      <w:r>
        <w:rPr>
          <w:rFonts w:ascii="Verdana" w:hAnsi="Verdana"/>
          <w:sz w:val="20"/>
          <w:szCs w:val="20"/>
        </w:rPr>
        <w:t>Uzavření dodatku č. 1</w:t>
      </w:r>
      <w:r>
        <w:rPr>
          <w:rFonts w:ascii="Verdana" w:hAnsi="Verdana"/>
          <w:b/>
          <w:bCs/>
          <w:sz w:val="20"/>
          <w:szCs w:val="20"/>
        </w:rPr>
        <w:t xml:space="preserve"> </w:t>
      </w:r>
      <w:r>
        <w:rPr>
          <w:rFonts w:ascii="Verdana" w:hAnsi="Verdana"/>
          <w:sz w:val="20"/>
          <w:szCs w:val="20"/>
        </w:rPr>
        <w:t>ke smlouvě o úhradě poměrné části nákladů vzniklých kompenzací prokazatelné ztráty v přepravě cestujících</w:t>
      </w:r>
      <w:r>
        <w:rPr>
          <w:rFonts w:ascii="Verdana" w:hAnsi="Verdana"/>
          <w:color w:val="000000"/>
          <w:sz w:val="20"/>
          <w:szCs w:val="20"/>
        </w:rPr>
        <w:t xml:space="preserve">, </w:t>
      </w:r>
      <w:r>
        <w:rPr>
          <w:rFonts w:ascii="Verdana" w:hAnsi="Verdana"/>
          <w:sz w:val="20"/>
          <w:szCs w:val="20"/>
        </w:rPr>
        <w:t>jehož předmětem je úprava obslužnosti zastávky „Hlízov“ a která je v současné době obsluhována linkami MHD Kutná Hora 245011 „poliklinika-aut.</w:t>
      </w:r>
      <w:proofErr w:type="gramStart"/>
      <w:r>
        <w:rPr>
          <w:rFonts w:ascii="Verdana" w:hAnsi="Verdana"/>
          <w:sz w:val="20"/>
          <w:szCs w:val="20"/>
        </w:rPr>
        <w:t>st.-</w:t>
      </w:r>
      <w:proofErr w:type="spellStart"/>
      <w:r>
        <w:rPr>
          <w:rFonts w:ascii="Verdana" w:hAnsi="Verdana"/>
          <w:sz w:val="20"/>
          <w:szCs w:val="20"/>
        </w:rPr>
        <w:t>Šipší</w:t>
      </w:r>
      <w:proofErr w:type="spellEnd"/>
      <w:r>
        <w:rPr>
          <w:rFonts w:ascii="Verdana" w:hAnsi="Verdana"/>
          <w:sz w:val="20"/>
          <w:szCs w:val="20"/>
        </w:rPr>
        <w:t>-</w:t>
      </w:r>
      <w:proofErr w:type="spellStart"/>
      <w:r>
        <w:rPr>
          <w:rFonts w:ascii="Verdana" w:hAnsi="Verdana"/>
          <w:sz w:val="20"/>
          <w:szCs w:val="20"/>
        </w:rPr>
        <w:t>hl</w:t>
      </w:r>
      <w:proofErr w:type="gramEnd"/>
      <w:r>
        <w:rPr>
          <w:rFonts w:ascii="Verdana" w:hAnsi="Verdana"/>
          <w:sz w:val="20"/>
          <w:szCs w:val="20"/>
        </w:rPr>
        <w:t>.nádraží</w:t>
      </w:r>
      <w:proofErr w:type="spellEnd"/>
      <w:r>
        <w:rPr>
          <w:rFonts w:ascii="Verdana" w:hAnsi="Verdana"/>
          <w:sz w:val="20"/>
          <w:szCs w:val="20"/>
        </w:rPr>
        <w:t>-Malín-Hlízov“ a 245015 „poliklinika-aut.st.-</w:t>
      </w:r>
      <w:proofErr w:type="spellStart"/>
      <w:r>
        <w:rPr>
          <w:rFonts w:ascii="Verdana" w:hAnsi="Verdana"/>
          <w:sz w:val="20"/>
          <w:szCs w:val="20"/>
        </w:rPr>
        <w:t>Klimeška</w:t>
      </w:r>
      <w:proofErr w:type="spellEnd"/>
      <w:r>
        <w:rPr>
          <w:rFonts w:ascii="Verdana" w:hAnsi="Verdana"/>
          <w:sz w:val="20"/>
          <w:szCs w:val="20"/>
        </w:rPr>
        <w:t>-</w:t>
      </w:r>
      <w:proofErr w:type="spellStart"/>
      <w:r>
        <w:rPr>
          <w:rFonts w:ascii="Verdana" w:hAnsi="Verdana"/>
          <w:sz w:val="20"/>
          <w:szCs w:val="20"/>
        </w:rPr>
        <w:t>hl.nádraží</w:t>
      </w:r>
      <w:proofErr w:type="spellEnd"/>
      <w:r>
        <w:rPr>
          <w:rFonts w:ascii="Verdana" w:hAnsi="Verdana"/>
          <w:sz w:val="20"/>
          <w:szCs w:val="20"/>
        </w:rPr>
        <w:t xml:space="preserve">-Malín-Hlízov“. Nutné z důvodu narovnání změny čísel aktuálních linek MHD, protože v původní smlouvě je uvedena linka MHD č. 245001, která není provozována již od </w:t>
      </w:r>
      <w:proofErr w:type="gramStart"/>
      <w:r>
        <w:rPr>
          <w:rFonts w:ascii="Verdana" w:hAnsi="Verdana"/>
          <w:sz w:val="20"/>
          <w:szCs w:val="20"/>
        </w:rPr>
        <w:t>14.10.2019</w:t>
      </w:r>
      <w:proofErr w:type="gramEnd"/>
      <w:r>
        <w:rPr>
          <w:rFonts w:ascii="Verdana" w:hAnsi="Verdana"/>
          <w:sz w:val="20"/>
          <w:szCs w:val="20"/>
        </w:rPr>
        <w:t>.</w:t>
      </w:r>
    </w:p>
    <w:p w:rsidR="004978CD" w:rsidRDefault="004978CD" w:rsidP="004978CD">
      <w:pPr>
        <w:rPr>
          <w:rFonts w:ascii="Verdana" w:hAnsi="Verdana"/>
          <w:b/>
          <w:bCs/>
          <w:sz w:val="20"/>
          <w:szCs w:val="20"/>
        </w:rPr>
      </w:pPr>
    </w:p>
    <w:p w:rsidR="004978CD" w:rsidRDefault="004978CD" w:rsidP="004978CD">
      <w:pPr>
        <w:rPr>
          <w:rFonts w:ascii="Verdana" w:hAnsi="Verdana"/>
          <w:b/>
          <w:bCs/>
          <w:sz w:val="20"/>
          <w:szCs w:val="20"/>
        </w:rPr>
      </w:pPr>
    </w:p>
    <w:p w:rsidR="004978CD" w:rsidRDefault="004978CD" w:rsidP="004978CD">
      <w:pPr>
        <w:rPr>
          <w:rFonts w:ascii="Verdana" w:hAnsi="Verdana"/>
          <w:b/>
          <w:bCs/>
          <w:sz w:val="20"/>
          <w:szCs w:val="20"/>
        </w:rPr>
      </w:pPr>
      <w:r>
        <w:rPr>
          <w:rFonts w:ascii="Verdana" w:hAnsi="Verdana"/>
          <w:b/>
          <w:bCs/>
          <w:sz w:val="20"/>
          <w:szCs w:val="20"/>
        </w:rPr>
        <w:t xml:space="preserve">10/02 Dodatek č. 16 ke smlouvě veřejné link. </w:t>
      </w:r>
      <w:proofErr w:type="gramStart"/>
      <w:r>
        <w:rPr>
          <w:rFonts w:ascii="Verdana" w:hAnsi="Verdana"/>
          <w:b/>
          <w:bCs/>
          <w:sz w:val="20"/>
          <w:szCs w:val="20"/>
        </w:rPr>
        <w:t>dopravy</w:t>
      </w:r>
      <w:proofErr w:type="gramEnd"/>
      <w:r>
        <w:rPr>
          <w:rFonts w:ascii="Verdana" w:hAnsi="Verdana"/>
          <w:b/>
          <w:bCs/>
          <w:sz w:val="20"/>
          <w:szCs w:val="20"/>
        </w:rPr>
        <w:t xml:space="preserve"> v systému PID (č. 381) + RO</w:t>
      </w:r>
    </w:p>
    <w:p w:rsidR="004978CD" w:rsidRDefault="004978CD" w:rsidP="004978CD">
      <w:pPr>
        <w:rPr>
          <w:rFonts w:ascii="Verdana" w:hAnsi="Verdana"/>
          <w:sz w:val="20"/>
          <w:szCs w:val="20"/>
        </w:rPr>
      </w:pPr>
      <w:r>
        <w:rPr>
          <w:rFonts w:ascii="Verdana" w:hAnsi="Verdana"/>
          <w:b/>
          <w:bCs/>
          <w:sz w:val="20"/>
          <w:szCs w:val="20"/>
        </w:rPr>
        <w:lastRenderedPageBreak/>
        <w:t xml:space="preserve">a) </w:t>
      </w:r>
      <w:r>
        <w:rPr>
          <w:rFonts w:ascii="Verdana" w:hAnsi="Verdana"/>
          <w:sz w:val="20"/>
          <w:szCs w:val="20"/>
        </w:rPr>
        <w:t xml:space="preserve">Uzavření dodatku </w:t>
      </w:r>
      <w:r>
        <w:rPr>
          <w:rFonts w:ascii="Verdana" w:hAnsi="Verdana"/>
          <w:color w:val="000000"/>
          <w:sz w:val="20"/>
          <w:szCs w:val="20"/>
        </w:rPr>
        <w:t xml:space="preserve">č. 16 ke smlouvě o závazku veřejné služby ve veřejné linkové dopravě v systému PID na roky 2010 až 2024 (linky PID č. 381 a 959), který řeší snížení platby pro období 04-12/2021. Měsíční částka byla </w:t>
      </w:r>
      <w:proofErr w:type="gramStart"/>
      <w:r>
        <w:rPr>
          <w:rFonts w:ascii="Verdana" w:hAnsi="Verdana"/>
          <w:color w:val="000000"/>
          <w:sz w:val="20"/>
          <w:szCs w:val="20"/>
        </w:rPr>
        <w:t>oproti I.Q (23 392,80</w:t>
      </w:r>
      <w:proofErr w:type="gramEnd"/>
      <w:r>
        <w:rPr>
          <w:rFonts w:ascii="Verdana" w:hAnsi="Verdana"/>
          <w:color w:val="000000"/>
          <w:sz w:val="20"/>
          <w:szCs w:val="20"/>
        </w:rPr>
        <w:t xml:space="preserve"> Kč) snížena na 18 406,50 Kč. </w:t>
      </w:r>
      <w:r>
        <w:rPr>
          <w:rFonts w:ascii="Verdana" w:hAnsi="Verdana"/>
          <w:sz w:val="20"/>
          <w:szCs w:val="20"/>
        </w:rPr>
        <w:t xml:space="preserve">Oproti loňskému roku (16 594,70 Kč) došlo ke zvýšení o 1 811,80 Kč, což je způsobeno zohledněním inflace 3,3% u nákladů. Součástí dodatku je závazek 10 000 Kč na pokrytí ztráty PID vzniklé propadem tržeb během pandemie Covid-19, které bylo přislíbeno po podání žádosti </w:t>
      </w:r>
      <w:proofErr w:type="spellStart"/>
      <w:r>
        <w:rPr>
          <w:rFonts w:ascii="Verdana" w:hAnsi="Verdana"/>
          <w:sz w:val="20"/>
          <w:szCs w:val="20"/>
        </w:rPr>
        <w:t>Stř</w:t>
      </w:r>
      <w:proofErr w:type="spellEnd"/>
      <w:r>
        <w:rPr>
          <w:rFonts w:ascii="Verdana" w:hAnsi="Verdana"/>
          <w:sz w:val="20"/>
          <w:szCs w:val="20"/>
        </w:rPr>
        <w:t xml:space="preserve">. kraje ze dne </w:t>
      </w:r>
      <w:proofErr w:type="gramStart"/>
      <w:r>
        <w:rPr>
          <w:rFonts w:ascii="Verdana" w:hAnsi="Verdana"/>
          <w:sz w:val="20"/>
          <w:szCs w:val="20"/>
        </w:rPr>
        <w:t>9.3.2021</w:t>
      </w:r>
      <w:proofErr w:type="gramEnd"/>
      <w:r>
        <w:rPr>
          <w:rFonts w:ascii="Verdana" w:hAnsi="Verdana"/>
          <w:sz w:val="20"/>
          <w:szCs w:val="20"/>
        </w:rPr>
        <w:t xml:space="preserve"> o poskytnutí tzv. „solidárního“ doplatku. (předem schváleno zastupitelstvem dne 16.3.2021 - usnesení č. 62/21).</w:t>
      </w:r>
    </w:p>
    <w:p w:rsidR="004978CD" w:rsidRDefault="004978CD" w:rsidP="004978CD">
      <w:pPr>
        <w:rPr>
          <w:rFonts w:ascii="Verdana" w:hAnsi="Verdana"/>
          <w:sz w:val="20"/>
          <w:szCs w:val="20"/>
        </w:rPr>
      </w:pPr>
      <w:r>
        <w:rPr>
          <w:rFonts w:ascii="Verdana" w:hAnsi="Verdana"/>
          <w:b/>
          <w:bCs/>
          <w:sz w:val="20"/>
          <w:szCs w:val="20"/>
        </w:rPr>
        <w:t>b)</w:t>
      </w:r>
      <w:r>
        <w:rPr>
          <w:rFonts w:ascii="Verdana" w:hAnsi="Verdana"/>
          <w:sz w:val="20"/>
          <w:szCs w:val="20"/>
        </w:rPr>
        <w:t xml:space="preserve"> Rozpočtové opatření ODSH č. 2- přesun rozpočtových prostředků, navýšení položky veřejné dopravy o 10 000 Kč, rozpočtové krytí požadavku v bodě a) z rozpočtové rezervy</w:t>
      </w:r>
    </w:p>
    <w:p w:rsidR="004978CD" w:rsidRDefault="004978CD" w:rsidP="004978CD">
      <w:pPr>
        <w:rPr>
          <w:rFonts w:ascii="Verdana" w:hAnsi="Verdana"/>
          <w:sz w:val="20"/>
          <w:szCs w:val="20"/>
        </w:rPr>
      </w:pPr>
    </w:p>
    <w:p w:rsidR="004978CD" w:rsidRDefault="004978CD" w:rsidP="004978CD">
      <w:pPr>
        <w:jc w:val="both"/>
        <w:rPr>
          <w:rFonts w:ascii="Verdana" w:hAnsi="Verdana"/>
          <w:sz w:val="20"/>
          <w:szCs w:val="20"/>
        </w:rPr>
      </w:pPr>
    </w:p>
    <w:p w:rsidR="004978CD" w:rsidRDefault="004978CD" w:rsidP="004978CD">
      <w:pPr>
        <w:jc w:val="both"/>
        <w:rPr>
          <w:rFonts w:ascii="Verdana" w:hAnsi="Verdana"/>
          <w:b/>
          <w:bCs/>
          <w:sz w:val="20"/>
          <w:szCs w:val="20"/>
        </w:rPr>
      </w:pPr>
      <w:r>
        <w:rPr>
          <w:rFonts w:ascii="Verdana" w:hAnsi="Verdana"/>
          <w:b/>
          <w:bCs/>
          <w:sz w:val="20"/>
          <w:szCs w:val="20"/>
        </w:rPr>
        <w:t>10/03 Dodatek ke smlouvě o provozování MHD</w:t>
      </w:r>
    </w:p>
    <w:p w:rsidR="004978CD" w:rsidRDefault="004978CD" w:rsidP="004978CD">
      <w:pPr>
        <w:jc w:val="both"/>
        <w:rPr>
          <w:rFonts w:ascii="Verdana" w:hAnsi="Verdana"/>
          <w:sz w:val="20"/>
          <w:szCs w:val="20"/>
        </w:rPr>
      </w:pPr>
      <w:r>
        <w:rPr>
          <w:rFonts w:ascii="Verdana" w:hAnsi="Verdana"/>
          <w:sz w:val="20"/>
          <w:szCs w:val="20"/>
        </w:rPr>
        <w:t>Uzavření Dodatku č. 5</w:t>
      </w:r>
      <w:r>
        <w:rPr>
          <w:rFonts w:ascii="Verdana" w:hAnsi="Verdana"/>
          <w:b/>
          <w:bCs/>
          <w:sz w:val="20"/>
          <w:szCs w:val="20"/>
        </w:rPr>
        <w:t xml:space="preserve"> </w:t>
      </w:r>
      <w:r>
        <w:rPr>
          <w:rFonts w:ascii="Verdana" w:hAnsi="Verdana"/>
          <w:sz w:val="20"/>
          <w:szCs w:val="20"/>
        </w:rPr>
        <w:t xml:space="preserve">ke Smlouvě o závazku veřejné služby k provozování MHD v Kutné Hoře, který řeší začlenění MHD v Kutné Hoře do nového integrovaného systému PID, který by měl zahájit provoz </w:t>
      </w:r>
      <w:proofErr w:type="gramStart"/>
      <w:r>
        <w:rPr>
          <w:rFonts w:ascii="Verdana" w:hAnsi="Verdana"/>
          <w:sz w:val="20"/>
          <w:szCs w:val="20"/>
        </w:rPr>
        <w:t>1.8.2021</w:t>
      </w:r>
      <w:proofErr w:type="gramEnd"/>
      <w:r>
        <w:rPr>
          <w:rFonts w:ascii="Verdana" w:hAnsi="Verdana"/>
          <w:sz w:val="20"/>
          <w:szCs w:val="20"/>
        </w:rPr>
        <w:t>. Společně s integrací se změní počet linek MHD na dvě (linka 801 a 802), které budou jezdit v kratších časových intervalech. Doplňkově se na obslužnosti města budou podílet i linky PID, čímž se zkvalitní obslužnost. S integrací bude akceptován Tarif PID, kdy dojde k navýšení ceny jízdného pro cestující (cena 30min. přestupní jízdenky bude 15 Kč). Ceny se u MHD se nezvyšovaly několik let, k tomuto kroku by bylo nutno přistoupit i bez Integrace. Výhodou tarifu PID je možnost čerpání slev pro studenty a důchodce (zaplatí jen 25% jízdného).</w:t>
      </w:r>
    </w:p>
    <w:p w:rsidR="004978CD" w:rsidRDefault="004978CD" w:rsidP="004978CD">
      <w:pPr>
        <w:jc w:val="both"/>
        <w:rPr>
          <w:rFonts w:ascii="Verdana" w:hAnsi="Verdana"/>
          <w:sz w:val="20"/>
          <w:szCs w:val="20"/>
        </w:rPr>
      </w:pPr>
    </w:p>
    <w:p w:rsidR="004978CD" w:rsidRDefault="004978CD" w:rsidP="0083206C">
      <w:pPr>
        <w:pStyle w:val="Default"/>
        <w:spacing w:line="276" w:lineRule="auto"/>
        <w:jc w:val="both"/>
        <w:rPr>
          <w:rFonts w:cs="Calibri"/>
          <w:b/>
          <w:bCs/>
          <w:color w:val="auto"/>
          <w:sz w:val="20"/>
          <w:szCs w:val="20"/>
        </w:rPr>
      </w:pPr>
    </w:p>
    <w:p w:rsidR="000309EF" w:rsidRPr="00D71E34" w:rsidRDefault="000309EF" w:rsidP="0083206C">
      <w:pPr>
        <w:pStyle w:val="Default"/>
        <w:spacing w:line="276" w:lineRule="auto"/>
        <w:jc w:val="both"/>
        <w:rPr>
          <w:rFonts w:cs="Calibri"/>
          <w:b/>
          <w:bCs/>
          <w:color w:val="auto"/>
          <w:sz w:val="20"/>
          <w:szCs w:val="20"/>
        </w:rPr>
      </w:pPr>
    </w:p>
    <w:p w:rsidR="00127F90" w:rsidRDefault="00127F90" w:rsidP="0083206C">
      <w:pPr>
        <w:spacing w:line="276" w:lineRule="auto"/>
        <w:jc w:val="both"/>
        <w:rPr>
          <w:rFonts w:ascii="Verdana" w:hAnsi="Verdana"/>
          <w:b/>
          <w:sz w:val="20"/>
          <w:szCs w:val="20"/>
          <w:u w:val="single"/>
        </w:rPr>
      </w:pPr>
      <w:r>
        <w:rPr>
          <w:rFonts w:ascii="Verdana" w:hAnsi="Verdana"/>
          <w:b/>
          <w:sz w:val="20"/>
          <w:szCs w:val="20"/>
          <w:u w:val="single"/>
        </w:rPr>
        <w:t xml:space="preserve">Oddělení </w:t>
      </w:r>
      <w:r w:rsidR="00B15BE8">
        <w:rPr>
          <w:rFonts w:ascii="Verdana" w:hAnsi="Verdana"/>
          <w:b/>
          <w:sz w:val="20"/>
          <w:szCs w:val="20"/>
          <w:u w:val="single"/>
        </w:rPr>
        <w:t xml:space="preserve">cestovního ruchu a marketingu </w:t>
      </w:r>
    </w:p>
    <w:p w:rsidR="000309EF" w:rsidRDefault="000309EF" w:rsidP="0083206C">
      <w:pPr>
        <w:spacing w:line="276" w:lineRule="auto"/>
        <w:jc w:val="both"/>
        <w:rPr>
          <w:rFonts w:ascii="Verdana" w:hAnsi="Verdana"/>
          <w:b/>
          <w:sz w:val="20"/>
          <w:szCs w:val="20"/>
          <w:u w:val="single"/>
        </w:rPr>
      </w:pPr>
    </w:p>
    <w:p w:rsidR="00B15BE8" w:rsidRPr="00B15BE8" w:rsidRDefault="00B15BE8" w:rsidP="0083206C">
      <w:pPr>
        <w:spacing w:line="276" w:lineRule="auto"/>
        <w:jc w:val="both"/>
        <w:rPr>
          <w:rFonts w:ascii="Verdana" w:hAnsi="Verdana"/>
          <w:b/>
          <w:sz w:val="20"/>
          <w:szCs w:val="20"/>
        </w:rPr>
      </w:pPr>
      <w:r w:rsidRPr="00B15BE8">
        <w:rPr>
          <w:rFonts w:ascii="Verdana" w:hAnsi="Verdana"/>
          <w:b/>
          <w:sz w:val="20"/>
          <w:szCs w:val="20"/>
        </w:rPr>
        <w:t>15/01</w:t>
      </w:r>
      <w:r w:rsidR="008700B6" w:rsidRPr="008700B6">
        <w:rPr>
          <w:rFonts w:ascii="Verdana" w:hAnsi="Verdana"/>
          <w:bCs/>
          <w:sz w:val="20"/>
          <w:szCs w:val="20"/>
        </w:rPr>
        <w:t xml:space="preserve"> </w:t>
      </w:r>
      <w:r w:rsidR="008700B6" w:rsidRPr="008700B6">
        <w:rPr>
          <w:rFonts w:ascii="Verdana" w:hAnsi="Verdana"/>
          <w:b/>
          <w:bCs/>
          <w:sz w:val="20"/>
          <w:szCs w:val="20"/>
        </w:rPr>
        <w:t>K závěrečnému účtu DSO Česká inspirace za rok 2020</w:t>
      </w:r>
    </w:p>
    <w:p w:rsidR="00254D26" w:rsidRDefault="00254D26" w:rsidP="00254D26">
      <w:pPr>
        <w:jc w:val="both"/>
        <w:rPr>
          <w:rFonts w:ascii="Verdana" w:hAnsi="Verdana"/>
          <w:sz w:val="20"/>
          <w:szCs w:val="20"/>
        </w:rPr>
      </w:pPr>
      <w:r w:rsidRPr="00613779">
        <w:rPr>
          <w:rFonts w:ascii="Verdana" w:hAnsi="Verdana"/>
          <w:sz w:val="20"/>
          <w:szCs w:val="20"/>
        </w:rPr>
        <w:t xml:space="preserve">Valná hromada DSO </w:t>
      </w:r>
      <w:r>
        <w:rPr>
          <w:rFonts w:ascii="Verdana" w:hAnsi="Verdana"/>
          <w:sz w:val="20"/>
          <w:szCs w:val="20"/>
        </w:rPr>
        <w:t>Česká inspirace dne 16. 4. 2021 schválila</w:t>
      </w:r>
      <w:r w:rsidRPr="00613779">
        <w:rPr>
          <w:rFonts w:ascii="Verdana" w:hAnsi="Verdana"/>
          <w:sz w:val="20"/>
          <w:szCs w:val="20"/>
        </w:rPr>
        <w:t xml:space="preserve"> závěrečný úče</w:t>
      </w:r>
      <w:r>
        <w:rPr>
          <w:rFonts w:ascii="Verdana" w:hAnsi="Verdana"/>
          <w:sz w:val="20"/>
          <w:szCs w:val="20"/>
        </w:rPr>
        <w:t>t a vyslovila</w:t>
      </w:r>
      <w:r w:rsidRPr="00613779">
        <w:rPr>
          <w:rFonts w:ascii="Verdana" w:hAnsi="Verdana"/>
          <w:sz w:val="20"/>
          <w:szCs w:val="20"/>
        </w:rPr>
        <w:t xml:space="preserve"> souhlas s celoroč</w:t>
      </w:r>
      <w:r>
        <w:rPr>
          <w:rFonts w:ascii="Verdana" w:hAnsi="Verdana"/>
          <w:sz w:val="20"/>
          <w:szCs w:val="20"/>
        </w:rPr>
        <w:t>ním hospodařením DSO za rok 2020</w:t>
      </w:r>
      <w:r w:rsidRPr="00613779">
        <w:rPr>
          <w:rFonts w:ascii="Verdana" w:hAnsi="Verdana"/>
          <w:sz w:val="20"/>
          <w:szCs w:val="20"/>
        </w:rPr>
        <w:t xml:space="preserve"> bez výhrad. </w:t>
      </w:r>
    </w:p>
    <w:p w:rsidR="00127F90" w:rsidRDefault="00127F90" w:rsidP="0083206C">
      <w:pPr>
        <w:spacing w:line="276" w:lineRule="auto"/>
      </w:pPr>
    </w:p>
    <w:p w:rsidR="00254D26" w:rsidRPr="008700B6" w:rsidRDefault="00254D26" w:rsidP="0083206C">
      <w:pPr>
        <w:spacing w:line="276" w:lineRule="auto"/>
        <w:rPr>
          <w:rFonts w:ascii="Verdana" w:hAnsi="Verdana"/>
          <w:b/>
          <w:sz w:val="20"/>
          <w:szCs w:val="20"/>
        </w:rPr>
      </w:pPr>
      <w:r w:rsidRPr="008700B6">
        <w:rPr>
          <w:rFonts w:ascii="Verdana" w:hAnsi="Verdana"/>
          <w:b/>
          <w:sz w:val="20"/>
          <w:szCs w:val="20"/>
        </w:rPr>
        <w:t>15/02</w:t>
      </w:r>
      <w:r w:rsidR="008700B6" w:rsidRPr="008700B6">
        <w:rPr>
          <w:rFonts w:ascii="Verdana" w:hAnsi="Verdana"/>
          <w:b/>
          <w:sz w:val="20"/>
          <w:szCs w:val="20"/>
        </w:rPr>
        <w:t xml:space="preserve">  K</w:t>
      </w:r>
      <w:r w:rsidR="008700B6" w:rsidRPr="008700B6">
        <w:rPr>
          <w:rFonts w:ascii="Verdana" w:hAnsi="Verdana"/>
          <w:b/>
          <w:bCs/>
          <w:sz w:val="20"/>
          <w:szCs w:val="20"/>
        </w:rPr>
        <w:t xml:space="preserve"> závěrečnému účtu DSO České dědictví UNESCO za rok 2020</w:t>
      </w:r>
    </w:p>
    <w:p w:rsidR="00254D26" w:rsidRDefault="00254D26" w:rsidP="0083206C">
      <w:pPr>
        <w:spacing w:line="276" w:lineRule="auto"/>
        <w:rPr>
          <w:rFonts w:ascii="Verdana" w:hAnsi="Verdana"/>
          <w:sz w:val="20"/>
          <w:szCs w:val="20"/>
        </w:rPr>
      </w:pPr>
      <w:r w:rsidRPr="00613779">
        <w:rPr>
          <w:rFonts w:ascii="Verdana" w:hAnsi="Verdana"/>
          <w:sz w:val="20"/>
          <w:szCs w:val="20"/>
        </w:rPr>
        <w:t>Valná hromada DSO České dědictví UNESCO</w:t>
      </w:r>
      <w:r>
        <w:rPr>
          <w:rFonts w:ascii="Verdana" w:hAnsi="Verdana"/>
          <w:sz w:val="20"/>
          <w:szCs w:val="20"/>
        </w:rPr>
        <w:t xml:space="preserve"> dne </w:t>
      </w:r>
      <w:r w:rsidRPr="00FC1199">
        <w:rPr>
          <w:rFonts w:ascii="Verdana" w:hAnsi="Verdana"/>
          <w:sz w:val="20"/>
          <w:szCs w:val="20"/>
        </w:rPr>
        <w:t>7. 5. 2021</w:t>
      </w:r>
      <w:r>
        <w:rPr>
          <w:rFonts w:ascii="Verdana" w:hAnsi="Verdana"/>
          <w:sz w:val="20"/>
          <w:szCs w:val="20"/>
        </w:rPr>
        <w:t xml:space="preserve"> schválila</w:t>
      </w:r>
      <w:r w:rsidRPr="00613779">
        <w:rPr>
          <w:rFonts w:ascii="Verdana" w:hAnsi="Verdana"/>
          <w:sz w:val="20"/>
          <w:szCs w:val="20"/>
        </w:rPr>
        <w:t xml:space="preserve"> závěrečný úče</w:t>
      </w:r>
      <w:r>
        <w:rPr>
          <w:rFonts w:ascii="Verdana" w:hAnsi="Verdana"/>
          <w:sz w:val="20"/>
          <w:szCs w:val="20"/>
        </w:rPr>
        <w:t>t a vyslovila</w:t>
      </w:r>
      <w:r w:rsidRPr="00613779">
        <w:rPr>
          <w:rFonts w:ascii="Verdana" w:hAnsi="Verdana"/>
          <w:sz w:val="20"/>
          <w:szCs w:val="20"/>
        </w:rPr>
        <w:t xml:space="preserve"> souhlas s celoroč</w:t>
      </w:r>
      <w:r>
        <w:rPr>
          <w:rFonts w:ascii="Verdana" w:hAnsi="Verdana"/>
          <w:sz w:val="20"/>
          <w:szCs w:val="20"/>
        </w:rPr>
        <w:t>ním hospodařením DSO za rok 2020</w:t>
      </w:r>
      <w:r w:rsidRPr="00613779">
        <w:rPr>
          <w:rFonts w:ascii="Verdana" w:hAnsi="Verdana"/>
          <w:sz w:val="20"/>
          <w:szCs w:val="20"/>
        </w:rPr>
        <w:t xml:space="preserve"> bez výhrad. </w:t>
      </w:r>
      <w:r>
        <w:rPr>
          <w:rFonts w:ascii="Verdana" w:hAnsi="Verdana"/>
          <w:sz w:val="20"/>
          <w:szCs w:val="20"/>
        </w:rPr>
        <w:t>Úpravy stanov spočívají především v zařazení nových členů z důvodu zapsaní Hornického</w:t>
      </w:r>
      <w:r w:rsidRPr="00803505">
        <w:rPr>
          <w:rFonts w:ascii="Verdana" w:hAnsi="Verdana"/>
          <w:sz w:val="20"/>
          <w:szCs w:val="20"/>
        </w:rPr>
        <w:t xml:space="preserve"> region</w:t>
      </w:r>
      <w:r>
        <w:rPr>
          <w:rFonts w:ascii="Verdana" w:hAnsi="Verdana"/>
          <w:sz w:val="20"/>
          <w:szCs w:val="20"/>
        </w:rPr>
        <w:t>u</w:t>
      </w:r>
      <w:r w:rsidRPr="00803505">
        <w:rPr>
          <w:rFonts w:ascii="Verdana" w:hAnsi="Verdana"/>
          <w:sz w:val="20"/>
          <w:szCs w:val="20"/>
        </w:rPr>
        <w:t xml:space="preserve"> </w:t>
      </w:r>
      <w:proofErr w:type="spellStart"/>
      <w:r w:rsidRPr="00803505">
        <w:rPr>
          <w:rFonts w:ascii="Verdana" w:hAnsi="Verdana"/>
          <w:sz w:val="20"/>
          <w:szCs w:val="20"/>
        </w:rPr>
        <w:t>Erzgebirge</w:t>
      </w:r>
      <w:proofErr w:type="spellEnd"/>
      <w:r w:rsidRPr="00803505">
        <w:rPr>
          <w:rFonts w:ascii="Verdana" w:hAnsi="Verdana"/>
          <w:sz w:val="20"/>
          <w:szCs w:val="20"/>
        </w:rPr>
        <w:t>/Krušnohoří</w:t>
      </w:r>
      <w:r>
        <w:rPr>
          <w:rFonts w:ascii="Verdana" w:hAnsi="Verdana"/>
          <w:sz w:val="20"/>
          <w:szCs w:val="20"/>
        </w:rPr>
        <w:t xml:space="preserve"> a Krajiny</w:t>
      </w:r>
      <w:r w:rsidRPr="00803505">
        <w:rPr>
          <w:rFonts w:ascii="Verdana" w:hAnsi="Verdana"/>
          <w:sz w:val="20"/>
          <w:szCs w:val="20"/>
        </w:rPr>
        <w:t xml:space="preserve"> pro chov a výcvik ceremoniálních kočárových koní v Kladrubech nad Labem</w:t>
      </w:r>
      <w:r>
        <w:rPr>
          <w:rFonts w:ascii="Verdana" w:hAnsi="Verdana"/>
          <w:sz w:val="20"/>
          <w:szCs w:val="20"/>
        </w:rPr>
        <w:t xml:space="preserve"> na Seznam světového dědictví UNESCO.</w:t>
      </w:r>
    </w:p>
    <w:p w:rsidR="00254D26" w:rsidRDefault="00254D26" w:rsidP="0083206C">
      <w:pPr>
        <w:spacing w:line="276" w:lineRule="auto"/>
      </w:pPr>
    </w:p>
    <w:p w:rsidR="000309EF" w:rsidRDefault="000309EF" w:rsidP="0083206C">
      <w:pPr>
        <w:spacing w:line="276" w:lineRule="auto"/>
      </w:pPr>
    </w:p>
    <w:p w:rsidR="002A4C52" w:rsidRDefault="002A4C52" w:rsidP="002A4C52">
      <w:pPr>
        <w:spacing w:line="276" w:lineRule="auto"/>
        <w:jc w:val="both"/>
        <w:rPr>
          <w:rFonts w:ascii="Verdana" w:hAnsi="Verdana"/>
          <w:b/>
          <w:sz w:val="20"/>
          <w:szCs w:val="20"/>
          <w:u w:val="single"/>
        </w:rPr>
      </w:pPr>
      <w:r>
        <w:rPr>
          <w:rFonts w:ascii="Verdana" w:hAnsi="Verdana"/>
          <w:b/>
          <w:sz w:val="20"/>
          <w:szCs w:val="20"/>
          <w:u w:val="single"/>
        </w:rPr>
        <w:t xml:space="preserve">Oddělení zastupitelských orgánů  </w:t>
      </w:r>
    </w:p>
    <w:p w:rsidR="000309EF" w:rsidRDefault="000309EF" w:rsidP="002A4C52">
      <w:pPr>
        <w:spacing w:line="276" w:lineRule="auto"/>
        <w:jc w:val="both"/>
        <w:rPr>
          <w:rFonts w:ascii="Verdana" w:hAnsi="Verdana"/>
          <w:b/>
          <w:sz w:val="20"/>
          <w:szCs w:val="20"/>
          <w:u w:val="single"/>
        </w:rPr>
      </w:pPr>
    </w:p>
    <w:p w:rsidR="00391FE8" w:rsidRPr="00391FE8" w:rsidRDefault="002A4C52" w:rsidP="00391FE8">
      <w:pPr>
        <w:spacing w:line="276" w:lineRule="auto"/>
        <w:jc w:val="both"/>
        <w:rPr>
          <w:rFonts w:ascii="Verdana" w:hAnsi="Verdana" w:cs="Verdana"/>
          <w:color w:val="000000"/>
          <w:sz w:val="20"/>
          <w:szCs w:val="20"/>
        </w:rPr>
      </w:pPr>
      <w:r w:rsidRPr="00B15BE8">
        <w:rPr>
          <w:rFonts w:ascii="Verdana" w:hAnsi="Verdana"/>
          <w:b/>
          <w:sz w:val="20"/>
          <w:szCs w:val="20"/>
        </w:rPr>
        <w:t>1</w:t>
      </w:r>
      <w:r>
        <w:rPr>
          <w:rFonts w:ascii="Verdana" w:hAnsi="Verdana"/>
          <w:b/>
          <w:sz w:val="20"/>
          <w:szCs w:val="20"/>
        </w:rPr>
        <w:t>7</w:t>
      </w:r>
      <w:r w:rsidRPr="00B15BE8">
        <w:rPr>
          <w:rFonts w:ascii="Verdana" w:hAnsi="Verdana"/>
          <w:b/>
          <w:sz w:val="20"/>
          <w:szCs w:val="20"/>
        </w:rPr>
        <w:t>/01</w:t>
      </w:r>
      <w:r w:rsidR="00391FE8" w:rsidRPr="00391FE8">
        <w:rPr>
          <w:rFonts w:ascii="Verdana" w:hAnsi="Verdana" w:cs="Verdana"/>
          <w:color w:val="000000"/>
          <w:sz w:val="24"/>
          <w:szCs w:val="24"/>
        </w:rPr>
        <w:t xml:space="preserve"> </w:t>
      </w:r>
      <w:r w:rsidR="00391FE8" w:rsidRPr="00391FE8">
        <w:rPr>
          <w:rFonts w:ascii="Verdana" w:hAnsi="Verdana" w:cs="Verdana"/>
          <w:b/>
          <w:bCs/>
          <w:color w:val="000000"/>
          <w:sz w:val="20"/>
          <w:szCs w:val="20"/>
        </w:rPr>
        <w:t xml:space="preserve">Zápisy a změny Osadních výborů </w:t>
      </w:r>
    </w:p>
    <w:p w:rsidR="00391FE8" w:rsidRPr="00391FE8" w:rsidRDefault="00391FE8" w:rsidP="00391FE8">
      <w:pPr>
        <w:autoSpaceDE w:val="0"/>
        <w:autoSpaceDN w:val="0"/>
        <w:adjustRightInd w:val="0"/>
        <w:rPr>
          <w:rFonts w:ascii="Verdana" w:hAnsi="Verdana" w:cs="Verdana"/>
          <w:color w:val="000000"/>
          <w:sz w:val="20"/>
          <w:szCs w:val="20"/>
        </w:rPr>
      </w:pPr>
      <w:r w:rsidRPr="00391FE8">
        <w:rPr>
          <w:rFonts w:ascii="Verdana" w:hAnsi="Verdana" w:cs="Verdana"/>
          <w:color w:val="000000"/>
          <w:sz w:val="20"/>
          <w:szCs w:val="20"/>
        </w:rPr>
        <w:t xml:space="preserve">Zápisy byly předány vedení města a kompetentním odborům k zajištění dotazů a připomínek a zveřejněny na webových stránkách: </w:t>
      </w:r>
      <w:hyperlink r:id="rId9" w:history="1">
        <w:r w:rsidR="004B1C1C" w:rsidRPr="00804FCF">
          <w:rPr>
            <w:rStyle w:val="Hypertextovodkaz"/>
            <w:rFonts w:ascii="Verdana" w:hAnsi="Verdana" w:cs="Verdana"/>
            <w:sz w:val="20"/>
            <w:szCs w:val="20"/>
          </w:rPr>
          <w:t>http://mu.kutnahora.cz/mu/osadni-vybory</w:t>
        </w:r>
      </w:hyperlink>
      <w:r w:rsidR="004B1C1C">
        <w:rPr>
          <w:rFonts w:ascii="Verdana" w:hAnsi="Verdana" w:cs="Verdana"/>
          <w:color w:val="000000"/>
          <w:sz w:val="20"/>
          <w:szCs w:val="20"/>
        </w:rPr>
        <w:t xml:space="preserve"> </w:t>
      </w:r>
      <w:r w:rsidRPr="00391FE8">
        <w:rPr>
          <w:rFonts w:ascii="Verdana" w:hAnsi="Verdana" w:cs="Verdana"/>
          <w:color w:val="000000"/>
          <w:sz w:val="20"/>
          <w:szCs w:val="20"/>
        </w:rPr>
        <w:t xml:space="preserve">. </w:t>
      </w:r>
      <w:r w:rsidR="006B2EE2">
        <w:rPr>
          <w:rFonts w:ascii="Verdana" w:hAnsi="Verdana" w:cs="Verdana"/>
          <w:color w:val="000000"/>
          <w:sz w:val="20"/>
          <w:szCs w:val="20"/>
        </w:rPr>
        <w:t>O</w:t>
      </w:r>
      <w:r w:rsidR="000813C3">
        <w:rPr>
          <w:rFonts w:ascii="Verdana" w:hAnsi="Verdana" w:cs="Verdana"/>
          <w:color w:val="000000"/>
          <w:sz w:val="20"/>
          <w:szCs w:val="20"/>
        </w:rPr>
        <w:t>sadním výborem</w:t>
      </w:r>
      <w:r w:rsidR="006B2EE2">
        <w:rPr>
          <w:rFonts w:ascii="Verdana" w:hAnsi="Verdana" w:cs="Verdana"/>
          <w:color w:val="000000"/>
          <w:sz w:val="20"/>
          <w:szCs w:val="20"/>
        </w:rPr>
        <w:t xml:space="preserve"> Malín byla </w:t>
      </w:r>
      <w:r w:rsidR="000813C3">
        <w:rPr>
          <w:rFonts w:ascii="Verdana" w:hAnsi="Verdana" w:cs="Verdana"/>
          <w:color w:val="000000"/>
          <w:sz w:val="20"/>
          <w:szCs w:val="20"/>
        </w:rPr>
        <w:t>navrž</w:t>
      </w:r>
      <w:r w:rsidR="006B2EE2">
        <w:rPr>
          <w:rFonts w:ascii="Verdana" w:hAnsi="Verdana" w:cs="Verdana"/>
          <w:color w:val="000000"/>
          <w:sz w:val="20"/>
          <w:szCs w:val="20"/>
        </w:rPr>
        <w:t>ena paní Vojáčková na funkci p</w:t>
      </w:r>
      <w:r w:rsidR="00B5531D">
        <w:rPr>
          <w:rFonts w:ascii="Verdana" w:hAnsi="Verdana" w:cs="Verdana"/>
          <w:color w:val="000000"/>
          <w:sz w:val="20"/>
          <w:szCs w:val="20"/>
        </w:rPr>
        <w:t xml:space="preserve">ředsedkyně </w:t>
      </w:r>
      <w:proofErr w:type="spellStart"/>
      <w:r w:rsidR="00B5531D">
        <w:rPr>
          <w:rFonts w:ascii="Verdana" w:hAnsi="Verdana" w:cs="Verdana"/>
          <w:color w:val="000000"/>
          <w:sz w:val="20"/>
          <w:szCs w:val="20"/>
        </w:rPr>
        <w:t>OsV</w:t>
      </w:r>
      <w:proofErr w:type="spellEnd"/>
      <w:r w:rsidR="00B5531D">
        <w:rPr>
          <w:rFonts w:ascii="Verdana" w:hAnsi="Verdana" w:cs="Verdana"/>
          <w:color w:val="000000"/>
          <w:sz w:val="20"/>
          <w:szCs w:val="20"/>
        </w:rPr>
        <w:t xml:space="preserve"> Malín a</w:t>
      </w:r>
      <w:r w:rsidR="004B1C1C">
        <w:rPr>
          <w:rFonts w:ascii="Verdana" w:hAnsi="Verdana" w:cs="Verdana"/>
          <w:color w:val="000000"/>
          <w:sz w:val="20"/>
          <w:szCs w:val="20"/>
        </w:rPr>
        <w:t xml:space="preserve"> doplněni noví členové </w:t>
      </w:r>
      <w:proofErr w:type="spellStart"/>
      <w:r w:rsidR="004B1C1C">
        <w:rPr>
          <w:rFonts w:ascii="Verdana" w:hAnsi="Verdana" w:cs="Verdana"/>
          <w:color w:val="000000"/>
          <w:sz w:val="20"/>
          <w:szCs w:val="20"/>
        </w:rPr>
        <w:t>OsV</w:t>
      </w:r>
      <w:proofErr w:type="spellEnd"/>
      <w:r w:rsidR="004B1C1C">
        <w:rPr>
          <w:rFonts w:ascii="Verdana" w:hAnsi="Verdana" w:cs="Verdana"/>
          <w:color w:val="000000"/>
          <w:sz w:val="20"/>
          <w:szCs w:val="20"/>
        </w:rPr>
        <w:t xml:space="preserve"> Malín.</w:t>
      </w:r>
    </w:p>
    <w:sectPr w:rsidR="00391FE8" w:rsidRPr="00391FE8" w:rsidSect="00903FDD">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79" w:rsidRDefault="00975179" w:rsidP="004730FB">
      <w:r>
        <w:separator/>
      </w:r>
    </w:p>
  </w:endnote>
  <w:endnote w:type="continuationSeparator" w:id="0">
    <w:p w:rsidR="00975179" w:rsidRDefault="00975179" w:rsidP="0047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79" w:rsidRDefault="00975179" w:rsidP="004730FB">
      <w:r>
        <w:separator/>
      </w:r>
    </w:p>
  </w:footnote>
  <w:footnote w:type="continuationSeparator" w:id="0">
    <w:p w:rsidR="00975179" w:rsidRDefault="00975179" w:rsidP="004730FB">
      <w:r>
        <w:continuationSeparator/>
      </w:r>
    </w:p>
  </w:footnote>
  <w:footnote w:id="1">
    <w:p w:rsidR="004730FB" w:rsidRPr="00BD6700" w:rsidRDefault="004730FB" w:rsidP="004730FB">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Pr>
          <w:rFonts w:ascii="Arial" w:hAnsi="Arial" w:cs="Arial"/>
          <w:sz w:val="18"/>
          <w:szCs w:val="18"/>
        </w:rPr>
        <w:t>, o místních poplatcích</w:t>
      </w:r>
    </w:p>
  </w:footnote>
  <w:footnote w:id="2">
    <w:p w:rsidR="004730FB" w:rsidRPr="00C76E56" w:rsidRDefault="004730FB" w:rsidP="004730FB">
      <w:pPr>
        <w:pStyle w:val="Textpoznpodarou"/>
        <w:rPr>
          <w:rFonts w:ascii="Arial" w:hAnsi="Arial" w:cs="Arial"/>
          <w:sz w:val="18"/>
          <w:szCs w:val="18"/>
        </w:rPr>
      </w:pPr>
      <w:r w:rsidRPr="00B64647">
        <w:rPr>
          <w:rStyle w:val="Znakapoznpodarou"/>
          <w:rFonts w:ascii="Arial" w:hAnsi="Arial" w:cs="Arial"/>
          <w:sz w:val="18"/>
          <w:szCs w:val="18"/>
        </w:rPr>
        <w:footnoteRef/>
      </w:r>
      <w:r w:rsidRPr="00B64647">
        <w:rPr>
          <w:rStyle w:val="Znakapoznpodarou"/>
          <w:rFonts w:ascii="Arial" w:hAnsi="Arial" w:cs="Arial"/>
          <w:sz w:val="18"/>
          <w:szCs w:val="18"/>
        </w:rPr>
        <w:t xml:space="preserve"> §</w:t>
      </w:r>
      <w:r w:rsidRPr="00B64647">
        <w:rPr>
          <w:rFonts w:ascii="Arial" w:hAnsi="Arial" w:cs="Arial"/>
          <w:sz w:val="18"/>
          <w:szCs w:val="18"/>
        </w:rPr>
        <w:t xml:space="preserve"> 10e</w:t>
      </w:r>
      <w:r>
        <w:rPr>
          <w:rFonts w:ascii="Arial" w:hAnsi="Arial" w:cs="Arial"/>
          <w:sz w:val="18"/>
          <w:szCs w:val="18"/>
        </w:rPr>
        <w:t xml:space="preserve"> </w:t>
      </w:r>
      <w:r w:rsidRPr="00C76E56">
        <w:rPr>
          <w:rFonts w:ascii="Arial" w:hAnsi="Arial" w:cs="Arial"/>
          <w:sz w:val="18"/>
          <w:szCs w:val="18"/>
        </w:rPr>
        <w:t>zákona o místních poplatcích</w:t>
      </w:r>
    </w:p>
  </w:footnote>
  <w:footnote w:id="3">
    <w:p w:rsidR="004730FB" w:rsidRPr="00F137F9" w:rsidRDefault="004730FB" w:rsidP="004730FB">
      <w:pPr>
        <w:pStyle w:val="Textpoznpodarou"/>
        <w:rPr>
          <w:rFonts w:ascii="Arial" w:hAnsi="Arial" w:cs="Arial"/>
          <w:sz w:val="18"/>
          <w:szCs w:val="18"/>
        </w:rPr>
      </w:pPr>
      <w:r w:rsidRPr="009E188F">
        <w:rPr>
          <w:rStyle w:val="Znakapoznpodarou"/>
        </w:rPr>
        <w:footnoteRef/>
      </w:r>
      <w:r w:rsidRPr="009E188F">
        <w:rPr>
          <w:rStyle w:val="Znakapoznpodarou"/>
        </w:rPr>
        <w:t xml:space="preserve"> </w:t>
      </w:r>
      <w:r w:rsidRPr="00F137F9">
        <w:rPr>
          <w:rFonts w:ascii="Arial" w:hAnsi="Arial" w:cs="Arial"/>
          <w:sz w:val="18"/>
          <w:szCs w:val="18"/>
        </w:rPr>
        <w:t xml:space="preserve">Za přihlášení fyzické osoby se podle § 16c zákona o místních poplatcích považuje </w:t>
      </w:r>
    </w:p>
    <w:p w:rsidR="004730FB" w:rsidRPr="00F137F9" w:rsidRDefault="004730FB" w:rsidP="004730FB">
      <w:pPr>
        <w:pStyle w:val="Textpoznpodarou"/>
        <w:rPr>
          <w:rFonts w:ascii="Arial" w:hAnsi="Arial" w:cs="Arial"/>
          <w:sz w:val="18"/>
          <w:szCs w:val="18"/>
        </w:rPr>
      </w:pPr>
      <w:r w:rsidRPr="00F137F9">
        <w:rPr>
          <w:rFonts w:ascii="Arial" w:hAnsi="Arial" w:cs="Arial"/>
          <w:sz w:val="18"/>
          <w:szCs w:val="18"/>
        </w:rPr>
        <w:t xml:space="preserve">a) přihlášení k trvalému pobytu podle zákona o evidenci obyvatel, nebo  </w:t>
      </w:r>
    </w:p>
    <w:p w:rsidR="004730FB" w:rsidRPr="00F137F9" w:rsidRDefault="004730FB" w:rsidP="004730FB">
      <w:pPr>
        <w:pStyle w:val="Textpoznpodarou"/>
        <w:rPr>
          <w:rFonts w:ascii="Arial" w:hAnsi="Arial" w:cs="Arial"/>
          <w:sz w:val="18"/>
          <w:szCs w:val="18"/>
        </w:rPr>
      </w:pPr>
      <w:r w:rsidRPr="00F137F9">
        <w:rPr>
          <w:rFonts w:ascii="Arial" w:hAnsi="Arial" w:cs="Arial"/>
          <w:sz w:val="18"/>
          <w:szCs w:val="18"/>
        </w:rPr>
        <w:t>b) ohlášení místa pobytu podle zákona o pobytu cizinců na území České republiky, zákona o azylu nebo zákona o dočasné ochraně cizinců, jde-li o cizince,</w:t>
      </w:r>
    </w:p>
    <w:p w:rsidR="004730FB" w:rsidRPr="00F137F9" w:rsidRDefault="004730FB" w:rsidP="004730FB">
      <w:pPr>
        <w:pStyle w:val="Textpoznpodarou"/>
        <w:rPr>
          <w:rFonts w:ascii="Arial" w:hAnsi="Arial" w:cs="Arial"/>
          <w:sz w:val="18"/>
          <w:szCs w:val="18"/>
        </w:rPr>
      </w:pPr>
      <w:r w:rsidRPr="00F137F9">
        <w:rPr>
          <w:rFonts w:ascii="Arial" w:hAnsi="Arial" w:cs="Arial"/>
          <w:sz w:val="18"/>
          <w:szCs w:val="18"/>
        </w:rPr>
        <w:t>1. kterému byl povolen trvalý pobyt,</w:t>
      </w:r>
    </w:p>
    <w:p w:rsidR="004730FB" w:rsidRPr="00F137F9" w:rsidRDefault="004730FB" w:rsidP="004730FB">
      <w:pPr>
        <w:pStyle w:val="Textpoznpodarou"/>
        <w:rPr>
          <w:rFonts w:ascii="Arial" w:hAnsi="Arial" w:cs="Arial"/>
          <w:sz w:val="18"/>
          <w:szCs w:val="18"/>
        </w:rPr>
      </w:pPr>
      <w:r w:rsidRPr="00F137F9">
        <w:rPr>
          <w:rFonts w:ascii="Arial" w:hAnsi="Arial" w:cs="Arial"/>
          <w:sz w:val="18"/>
          <w:szCs w:val="18"/>
        </w:rPr>
        <w:t>2. který na území České republiky pobývá přechodně po dobu delší než 3 měsíce,</w:t>
      </w:r>
    </w:p>
    <w:p w:rsidR="004730FB" w:rsidRPr="00F137F9" w:rsidRDefault="004730FB" w:rsidP="004730FB">
      <w:pPr>
        <w:pStyle w:val="Textpoznpodarou"/>
        <w:rPr>
          <w:rFonts w:ascii="Arial" w:hAnsi="Arial" w:cs="Arial"/>
          <w:sz w:val="18"/>
          <w:szCs w:val="18"/>
        </w:rPr>
      </w:pPr>
      <w:r w:rsidRPr="00F137F9">
        <w:rPr>
          <w:rFonts w:ascii="Arial" w:hAnsi="Arial" w:cs="Arial"/>
          <w:sz w:val="18"/>
          <w:szCs w:val="18"/>
        </w:rPr>
        <w:t>3. který je žadatelem o udělení mezinárodní ochrany nebo osobou strpěnou na území podle zákona o azylu anebo žadatelem o poskytnutí dočasné ochrany podle zákona o dočasné ochraně cizinců, nebo</w:t>
      </w:r>
    </w:p>
    <w:p w:rsidR="004730FB" w:rsidRPr="00F137F9" w:rsidRDefault="004730FB" w:rsidP="004730FB">
      <w:pPr>
        <w:pStyle w:val="Textpoznpodarou"/>
        <w:rPr>
          <w:rFonts w:ascii="Arial" w:hAnsi="Arial" w:cs="Arial"/>
          <w:sz w:val="18"/>
          <w:szCs w:val="18"/>
        </w:rPr>
      </w:pPr>
      <w:r w:rsidRPr="00F137F9">
        <w:rPr>
          <w:rFonts w:ascii="Arial" w:hAnsi="Arial" w:cs="Arial"/>
          <w:sz w:val="18"/>
          <w:szCs w:val="18"/>
        </w:rPr>
        <w:t>4. kterému byla udělena mezinárodní ochrana nebo jde o cizince požívajícího dočasné ochrany cizinců.</w:t>
      </w:r>
    </w:p>
  </w:footnote>
  <w:footnote w:id="4">
    <w:p w:rsidR="004730FB" w:rsidRDefault="004730FB" w:rsidP="004730FB">
      <w:pPr>
        <w:pStyle w:val="Textpoznpodarou"/>
      </w:pPr>
      <w:r>
        <w:rPr>
          <w:rStyle w:val="Znakapoznpodarou"/>
        </w:rPr>
        <w:footnoteRef/>
      </w:r>
      <w:r>
        <w:t xml:space="preserve"> </w:t>
      </w:r>
      <w:r w:rsidRPr="00B64647">
        <w:rPr>
          <w:rStyle w:val="Znakapoznpodarou"/>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5">
    <w:p w:rsidR="004730FB" w:rsidRDefault="004730FB" w:rsidP="004730FB">
      <w:pPr>
        <w:pStyle w:val="Textpoznpodarou"/>
      </w:pPr>
      <w:r>
        <w:rPr>
          <w:rStyle w:val="Znakapoznpodarou"/>
        </w:rPr>
        <w:footnoteRef/>
      </w:r>
      <w:r>
        <w:t xml:space="preserve"> </w:t>
      </w:r>
      <w:r w:rsidRPr="0050670C">
        <w:rPr>
          <w:rFonts w:ascii="Arial" w:hAnsi="Arial" w:cs="Arial"/>
          <w:sz w:val="18"/>
          <w:szCs w:val="18"/>
        </w:rPr>
        <w:t>§ 1</w:t>
      </w:r>
      <w:r>
        <w:rPr>
          <w:rFonts w:ascii="Arial" w:hAnsi="Arial" w:cs="Arial"/>
          <w:sz w:val="18"/>
          <w:szCs w:val="18"/>
        </w:rPr>
        <w:t>0o</w:t>
      </w:r>
      <w:r w:rsidRPr="002765B6">
        <w:rPr>
          <w:rFonts w:ascii="Arial" w:hAnsi="Arial" w:cs="Arial"/>
          <w:sz w:val="18"/>
          <w:szCs w:val="18"/>
        </w:rPr>
        <w:t xml:space="preserve"> odst. </w:t>
      </w:r>
      <w:r>
        <w:rPr>
          <w:rFonts w:ascii="Arial" w:hAnsi="Arial" w:cs="Arial"/>
          <w:sz w:val="18"/>
          <w:szCs w:val="18"/>
        </w:rPr>
        <w:t>1</w:t>
      </w:r>
      <w:r w:rsidRPr="002765B6">
        <w:rPr>
          <w:rFonts w:ascii="Arial" w:hAnsi="Arial" w:cs="Arial"/>
          <w:sz w:val="18"/>
          <w:szCs w:val="18"/>
        </w:rPr>
        <w:t xml:space="preserve"> zákona o místních poplatcích</w:t>
      </w:r>
    </w:p>
  </w:footnote>
  <w:footnote w:id="6">
    <w:p w:rsidR="004730FB" w:rsidRPr="002765B6" w:rsidRDefault="004730FB" w:rsidP="004730FB">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7">
    <w:p w:rsidR="004730FB" w:rsidRPr="008560D9" w:rsidRDefault="004730FB" w:rsidP="004730FB">
      <w:pPr>
        <w:pStyle w:val="Textpoznpodarou"/>
        <w:rPr>
          <w:rFonts w:ascii="Arial" w:hAnsi="Arial" w:cs="Arial"/>
          <w:sz w:val="18"/>
          <w:szCs w:val="18"/>
        </w:rPr>
      </w:pPr>
      <w:r w:rsidRPr="008560D9">
        <w:rPr>
          <w:rStyle w:val="Znakapoznpodarou"/>
          <w:rFonts w:ascii="Arial" w:hAnsi="Arial" w:cs="Arial"/>
          <w:sz w:val="18"/>
          <w:szCs w:val="18"/>
        </w:rPr>
        <w:footnoteRef/>
      </w:r>
      <w:r w:rsidRPr="008560D9">
        <w:rPr>
          <w:rFonts w:ascii="Arial" w:hAnsi="Arial" w:cs="Arial"/>
          <w:sz w:val="18"/>
          <w:szCs w:val="18"/>
        </w:rPr>
        <w:t xml:space="preserve"> § 14a odst. </w:t>
      </w:r>
      <w:r>
        <w:rPr>
          <w:rFonts w:ascii="Arial" w:hAnsi="Arial" w:cs="Arial"/>
          <w:sz w:val="18"/>
          <w:szCs w:val="18"/>
        </w:rPr>
        <w:t>3</w:t>
      </w:r>
      <w:r w:rsidRPr="008560D9">
        <w:rPr>
          <w:rFonts w:ascii="Arial" w:hAnsi="Arial" w:cs="Arial"/>
          <w:sz w:val="18"/>
          <w:szCs w:val="18"/>
        </w:rPr>
        <w:t xml:space="preserve"> zákona o místních poplatcích</w:t>
      </w:r>
    </w:p>
  </w:footnote>
  <w:footnote w:id="8">
    <w:p w:rsidR="004730FB" w:rsidRPr="00A04C8B" w:rsidRDefault="004730FB" w:rsidP="004730FB">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14a odst. </w:t>
      </w:r>
      <w:r>
        <w:rPr>
          <w:rFonts w:ascii="Arial" w:hAnsi="Arial" w:cs="Arial"/>
          <w:sz w:val="18"/>
          <w:szCs w:val="18"/>
        </w:rPr>
        <w:t>4</w:t>
      </w:r>
      <w:r w:rsidRPr="00A04C8B">
        <w:rPr>
          <w:rFonts w:ascii="Arial" w:hAnsi="Arial" w:cs="Arial"/>
          <w:sz w:val="18"/>
          <w:szCs w:val="18"/>
        </w:rPr>
        <w:t xml:space="preserve"> zákona o místních poplatcích</w:t>
      </w:r>
    </w:p>
  </w:footnote>
  <w:footnote w:id="9">
    <w:p w:rsidR="004730FB" w:rsidRDefault="004730FB" w:rsidP="004730FB">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0">
    <w:p w:rsidR="004730FB" w:rsidRDefault="004730FB" w:rsidP="004730FB">
      <w:pPr>
        <w:pStyle w:val="Textpoznpodarou"/>
      </w:pPr>
      <w:r>
        <w:rPr>
          <w:rStyle w:val="Znakapoznpodarou"/>
        </w:rPr>
        <w:footnoteRef/>
      </w:r>
      <w:r>
        <w:t xml:space="preserve"> </w:t>
      </w:r>
      <w:r w:rsidRPr="006A4A80">
        <w:rPr>
          <w:rFonts w:ascii="Arial" w:hAnsi="Arial" w:cs="Arial"/>
          <w:sz w:val="18"/>
          <w:szCs w:val="18"/>
        </w:rPr>
        <w:t xml:space="preserve">§ 10h odst. 2 ve spojení s § 10o </w:t>
      </w:r>
      <w:r>
        <w:rPr>
          <w:rFonts w:ascii="Arial" w:hAnsi="Arial" w:cs="Arial"/>
          <w:sz w:val="18"/>
          <w:szCs w:val="18"/>
        </w:rPr>
        <w:t>odst. 2 zákona o místních poplatcích</w:t>
      </w:r>
    </w:p>
  </w:footnote>
  <w:footnote w:id="11">
    <w:p w:rsidR="004730FB" w:rsidRDefault="004730FB" w:rsidP="004730FB">
      <w:pPr>
        <w:pStyle w:val="Textpoznpodarou"/>
      </w:pPr>
      <w:r>
        <w:rPr>
          <w:rStyle w:val="Znakapoznpodarou"/>
        </w:rPr>
        <w:footnoteRef/>
      </w:r>
      <w:r>
        <w:t xml:space="preserve"> § </w:t>
      </w:r>
      <w:r w:rsidRPr="006A4A80">
        <w:rPr>
          <w:rFonts w:ascii="Arial" w:hAnsi="Arial" w:cs="Arial"/>
          <w:sz w:val="18"/>
          <w:szCs w:val="18"/>
        </w:rPr>
        <w:t xml:space="preserve">10h odst. </w:t>
      </w:r>
      <w:r>
        <w:rPr>
          <w:rFonts w:ascii="Arial" w:hAnsi="Arial" w:cs="Arial"/>
          <w:sz w:val="18"/>
          <w:szCs w:val="18"/>
        </w:rPr>
        <w:t>3</w:t>
      </w:r>
      <w:r w:rsidRPr="006A4A80">
        <w:rPr>
          <w:rFonts w:ascii="Arial" w:hAnsi="Arial" w:cs="Arial"/>
          <w:sz w:val="18"/>
          <w:szCs w:val="18"/>
        </w:rPr>
        <w:t xml:space="preserve"> ve spojení s § 10o </w:t>
      </w:r>
      <w:r>
        <w:rPr>
          <w:rFonts w:ascii="Arial" w:hAnsi="Arial" w:cs="Arial"/>
          <w:sz w:val="18"/>
          <w:szCs w:val="18"/>
        </w:rPr>
        <w:t>odst. 2 zákona o místních poplatcích</w:t>
      </w:r>
    </w:p>
  </w:footnote>
  <w:footnote w:id="12">
    <w:p w:rsidR="004730FB" w:rsidRDefault="004730FB" w:rsidP="004730FB">
      <w:pPr>
        <w:pStyle w:val="Textpoznpodarou"/>
      </w:pPr>
      <w:r>
        <w:rPr>
          <w:rStyle w:val="Znakapoznpodarou"/>
        </w:rPr>
        <w:footnoteRef/>
      </w:r>
      <w:r>
        <w:t xml:space="preserve"> </w:t>
      </w:r>
      <w:r>
        <w:rPr>
          <w:rFonts w:ascii="Arial" w:hAnsi="Arial" w:cs="Arial"/>
          <w:sz w:val="18"/>
          <w:szCs w:val="18"/>
        </w:rPr>
        <w:t>§ 10g</w:t>
      </w:r>
      <w:r w:rsidRPr="00BA1E8D">
        <w:rPr>
          <w:rFonts w:ascii="Arial" w:hAnsi="Arial" w:cs="Arial"/>
          <w:sz w:val="18"/>
          <w:szCs w:val="18"/>
        </w:rPr>
        <w:t xml:space="preserve"> zákona o místních poplatcích</w:t>
      </w:r>
    </w:p>
  </w:footnote>
  <w:footnote w:id="13">
    <w:p w:rsidR="004730FB" w:rsidRPr="00BA1E8D" w:rsidRDefault="004730FB" w:rsidP="004730FB">
      <w:pPr>
        <w:pStyle w:val="Textpoznpodarou"/>
        <w:rPr>
          <w:rFonts w:ascii="Arial" w:hAnsi="Arial" w:cs="Arial"/>
          <w:sz w:val="18"/>
          <w:szCs w:val="18"/>
        </w:rPr>
      </w:pPr>
      <w:r w:rsidRPr="00BA1E8D">
        <w:rPr>
          <w:rStyle w:val="Znakapoznpodarou"/>
          <w:rFonts w:ascii="Arial" w:hAnsi="Arial" w:cs="Arial"/>
          <w:sz w:val="18"/>
          <w:szCs w:val="18"/>
        </w:rPr>
        <w:footnoteRef/>
      </w:r>
      <w:r w:rsidRPr="00BA1E8D">
        <w:rPr>
          <w:rFonts w:ascii="Arial" w:hAnsi="Arial" w:cs="Arial"/>
          <w:sz w:val="18"/>
          <w:szCs w:val="18"/>
        </w:rPr>
        <w:t xml:space="preserve"> § 14a odst. </w:t>
      </w:r>
      <w:r>
        <w:rPr>
          <w:rFonts w:ascii="Arial" w:hAnsi="Arial" w:cs="Arial"/>
          <w:sz w:val="18"/>
          <w:szCs w:val="18"/>
        </w:rPr>
        <w:t>6</w:t>
      </w:r>
      <w:r w:rsidRPr="00BA1E8D">
        <w:rPr>
          <w:rFonts w:ascii="Arial" w:hAnsi="Arial" w:cs="Arial"/>
          <w:sz w:val="18"/>
          <w:szCs w:val="18"/>
        </w:rPr>
        <w:t xml:space="preserve"> zákona o místních poplatcích</w:t>
      </w:r>
    </w:p>
  </w:footnote>
  <w:footnote w:id="14">
    <w:p w:rsidR="004730FB" w:rsidRPr="00A04C8B" w:rsidRDefault="004730FB" w:rsidP="004730FB">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11 odst. 1 zákona o místních poplatcích</w:t>
      </w:r>
    </w:p>
  </w:footnote>
  <w:footnote w:id="15">
    <w:p w:rsidR="004730FB" w:rsidRPr="00A04C8B" w:rsidRDefault="004730FB" w:rsidP="004730FB">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11 odst. 3 zákona o místních poplatcích</w:t>
      </w:r>
    </w:p>
  </w:footnote>
  <w:footnote w:id="16">
    <w:p w:rsidR="004730FB" w:rsidRDefault="004730FB" w:rsidP="004730FB">
      <w:pPr>
        <w:pStyle w:val="Textpoznpodarou"/>
      </w:pPr>
      <w:r w:rsidRPr="00040EA6">
        <w:rPr>
          <w:rStyle w:val="Znakapoznpodarou"/>
          <w:rFonts w:ascii="Arial" w:hAnsi="Arial" w:cs="Arial"/>
          <w:sz w:val="18"/>
          <w:szCs w:val="18"/>
        </w:rPr>
        <w:footnoteRef/>
      </w:r>
      <w:r w:rsidRPr="00040EA6">
        <w:rPr>
          <w:rFonts w:ascii="Arial" w:hAnsi="Arial" w:cs="Arial"/>
          <w:sz w:val="18"/>
          <w:szCs w:val="18"/>
        </w:rPr>
        <w:t xml:space="preserve"> </w:t>
      </w:r>
      <w:r w:rsidRPr="004F6539">
        <w:rPr>
          <w:rFonts w:ascii="Arial" w:hAnsi="Arial" w:cs="Arial"/>
          <w:sz w:val="18"/>
          <w:szCs w:val="18"/>
        </w:rPr>
        <w:t>§ 12 zákona o místních poplatcí</w:t>
      </w:r>
      <w:r>
        <w:rPr>
          <w:rFonts w:ascii="Arial" w:hAnsi="Arial" w:cs="Arial"/>
          <w:sz w:val="18"/>
          <w:szCs w:val="18"/>
        </w:rPr>
        <w:t>c</w:t>
      </w:r>
      <w:r w:rsidRPr="004F6539">
        <w:rPr>
          <w:rFonts w:ascii="Arial" w:hAnsi="Arial" w:cs="Arial"/>
          <w:sz w:val="18"/>
          <w:szCs w:val="18"/>
        </w:rPr>
        <w:t>h</w:t>
      </w:r>
    </w:p>
  </w:footnote>
  <w:footnote w:id="17">
    <w:p w:rsidR="004730FB" w:rsidRDefault="004730FB" w:rsidP="004730FB">
      <w:pPr>
        <w:pStyle w:val="Textpoznpodarou"/>
      </w:pPr>
      <w:r w:rsidRPr="00B64647">
        <w:rPr>
          <w:rStyle w:val="Znakapoznpodarou"/>
          <w:rFonts w:ascii="Arial" w:hAnsi="Arial" w:cs="Arial"/>
          <w:sz w:val="18"/>
          <w:szCs w:val="18"/>
        </w:rPr>
        <w:footnoteRef/>
      </w:r>
      <w:r>
        <w:rPr>
          <w:rFonts w:ascii="Arial" w:hAnsi="Arial" w:cs="Arial"/>
          <w:sz w:val="18"/>
          <w:szCs w:val="18"/>
        </w:rPr>
        <w:t xml:space="preserve"> § 10q</w:t>
      </w:r>
      <w:r w:rsidRPr="00F137F9">
        <w:rPr>
          <w:rFonts w:ascii="Arial" w:hAnsi="Arial" w:cs="Arial"/>
          <w:sz w:val="18"/>
          <w:szCs w:val="18"/>
        </w:rPr>
        <w:t xml:space="preserve"> zákona o místních poplatcích</w:t>
      </w:r>
    </w:p>
  </w:footnote>
  <w:footnote w:id="18">
    <w:p w:rsidR="004730FB" w:rsidRDefault="004730FB" w:rsidP="004730FB">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21" w:hanging="348"/>
      </w:pPr>
      <w:rPr>
        <w:rFonts w:ascii="Symbol" w:hAnsi="Symbol" w:cs="Symbol"/>
        <w:b w:val="0"/>
        <w:bCs w:val="0"/>
        <w:w w:val="99"/>
        <w:sz w:val="20"/>
        <w:szCs w:val="20"/>
      </w:rPr>
    </w:lvl>
    <w:lvl w:ilvl="1">
      <w:numFmt w:val="bullet"/>
      <w:lvlText w:val="o"/>
      <w:lvlJc w:val="left"/>
      <w:pPr>
        <w:ind w:left="1753" w:hanging="336"/>
      </w:pPr>
      <w:rPr>
        <w:rFonts w:ascii="Courier New" w:hAnsi="Courier New" w:cs="Courier New"/>
        <w:b w:val="0"/>
        <w:bCs w:val="0"/>
        <w:w w:val="99"/>
        <w:sz w:val="20"/>
        <w:szCs w:val="20"/>
      </w:rPr>
    </w:lvl>
    <w:lvl w:ilvl="2">
      <w:numFmt w:val="bullet"/>
      <w:lvlText w:val=""/>
      <w:lvlJc w:val="left"/>
      <w:pPr>
        <w:ind w:left="2437" w:hanging="324"/>
      </w:pPr>
      <w:rPr>
        <w:rFonts w:ascii="Wingdings" w:hAnsi="Wingdings" w:cs="Wingdings"/>
        <w:b w:val="0"/>
        <w:bCs w:val="0"/>
        <w:w w:val="99"/>
        <w:sz w:val="20"/>
        <w:szCs w:val="20"/>
      </w:rPr>
    </w:lvl>
    <w:lvl w:ilvl="3">
      <w:numFmt w:val="bullet"/>
      <w:lvlText w:val=""/>
      <w:lvlJc w:val="left"/>
      <w:pPr>
        <w:ind w:left="3145" w:hanging="312"/>
      </w:pPr>
      <w:rPr>
        <w:rFonts w:ascii="Symbol" w:hAnsi="Symbol" w:cs="Symbol"/>
        <w:b w:val="0"/>
        <w:bCs w:val="0"/>
        <w:w w:val="99"/>
        <w:sz w:val="20"/>
        <w:szCs w:val="20"/>
      </w:rPr>
    </w:lvl>
    <w:lvl w:ilvl="4">
      <w:numFmt w:val="bullet"/>
      <w:lvlText w:val="•"/>
      <w:lvlJc w:val="left"/>
      <w:pPr>
        <w:ind w:left="3140" w:hanging="312"/>
      </w:pPr>
    </w:lvl>
    <w:lvl w:ilvl="5">
      <w:numFmt w:val="bullet"/>
      <w:lvlText w:val="•"/>
      <w:lvlJc w:val="left"/>
      <w:pPr>
        <w:ind w:left="4297" w:hanging="312"/>
      </w:pPr>
    </w:lvl>
    <w:lvl w:ilvl="6">
      <w:numFmt w:val="bullet"/>
      <w:lvlText w:val="•"/>
      <w:lvlJc w:val="left"/>
      <w:pPr>
        <w:ind w:left="5455" w:hanging="312"/>
      </w:pPr>
    </w:lvl>
    <w:lvl w:ilvl="7">
      <w:numFmt w:val="bullet"/>
      <w:lvlText w:val="•"/>
      <w:lvlJc w:val="left"/>
      <w:pPr>
        <w:ind w:left="6613" w:hanging="312"/>
      </w:pPr>
    </w:lvl>
    <w:lvl w:ilvl="8">
      <w:numFmt w:val="bullet"/>
      <w:lvlText w:val="•"/>
      <w:lvlJc w:val="left"/>
      <w:pPr>
        <w:ind w:left="7770" w:hanging="312"/>
      </w:pPr>
    </w:lvl>
  </w:abstractNum>
  <w:abstractNum w:abstractNumId="1" w15:restartNumberingAfterBreak="0">
    <w:nsid w:val="00000403"/>
    <w:multiLevelType w:val="multilevel"/>
    <w:tmpl w:val="00000886"/>
    <w:lvl w:ilvl="0">
      <w:numFmt w:val="bullet"/>
      <w:lvlText w:val=""/>
      <w:lvlJc w:val="left"/>
      <w:pPr>
        <w:ind w:left="312" w:hanging="284"/>
      </w:pPr>
      <w:rPr>
        <w:rFonts w:ascii="Symbol" w:hAnsi="Symbol" w:cs="Symbol"/>
        <w:b w:val="0"/>
        <w:bCs w:val="0"/>
        <w:w w:val="99"/>
        <w:sz w:val="20"/>
        <w:szCs w:val="20"/>
      </w:rPr>
    </w:lvl>
    <w:lvl w:ilvl="1">
      <w:numFmt w:val="bullet"/>
      <w:lvlText w:val="•"/>
      <w:lvlJc w:val="left"/>
      <w:pPr>
        <w:ind w:left="1257" w:hanging="284"/>
      </w:pPr>
    </w:lvl>
    <w:lvl w:ilvl="2">
      <w:numFmt w:val="bullet"/>
      <w:lvlText w:val="•"/>
      <w:lvlJc w:val="left"/>
      <w:pPr>
        <w:ind w:left="2195" w:hanging="284"/>
      </w:pPr>
    </w:lvl>
    <w:lvl w:ilvl="3">
      <w:numFmt w:val="bullet"/>
      <w:lvlText w:val="•"/>
      <w:lvlJc w:val="left"/>
      <w:pPr>
        <w:ind w:left="3133" w:hanging="284"/>
      </w:pPr>
    </w:lvl>
    <w:lvl w:ilvl="4">
      <w:numFmt w:val="bullet"/>
      <w:lvlText w:val="•"/>
      <w:lvlJc w:val="left"/>
      <w:pPr>
        <w:ind w:left="4071" w:hanging="284"/>
      </w:pPr>
    </w:lvl>
    <w:lvl w:ilvl="5">
      <w:numFmt w:val="bullet"/>
      <w:lvlText w:val="•"/>
      <w:lvlJc w:val="left"/>
      <w:pPr>
        <w:ind w:left="5009" w:hanging="284"/>
      </w:pPr>
    </w:lvl>
    <w:lvl w:ilvl="6">
      <w:numFmt w:val="bullet"/>
      <w:lvlText w:val="•"/>
      <w:lvlJc w:val="left"/>
      <w:pPr>
        <w:ind w:left="5946" w:hanging="284"/>
      </w:pPr>
    </w:lvl>
    <w:lvl w:ilvl="7">
      <w:numFmt w:val="bullet"/>
      <w:lvlText w:val="•"/>
      <w:lvlJc w:val="left"/>
      <w:pPr>
        <w:ind w:left="6884" w:hanging="284"/>
      </w:pPr>
    </w:lvl>
    <w:lvl w:ilvl="8">
      <w:numFmt w:val="bullet"/>
      <w:lvlText w:val="•"/>
      <w:lvlJc w:val="left"/>
      <w:pPr>
        <w:ind w:left="7822" w:hanging="284"/>
      </w:pPr>
    </w:lvl>
  </w:abstractNum>
  <w:abstractNum w:abstractNumId="2"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77D7872"/>
    <w:multiLevelType w:val="hybridMultilevel"/>
    <w:tmpl w:val="F874FF1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8763C22"/>
    <w:multiLevelType w:val="hybridMultilevel"/>
    <w:tmpl w:val="4C1C5C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AA4784B"/>
    <w:multiLevelType w:val="hybridMultilevel"/>
    <w:tmpl w:val="6EF05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DE0A2D"/>
    <w:multiLevelType w:val="hybridMultilevel"/>
    <w:tmpl w:val="992EF0F4"/>
    <w:lvl w:ilvl="0" w:tplc="7646BD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064B4"/>
    <w:multiLevelType w:val="hybridMultilevel"/>
    <w:tmpl w:val="21BA3930"/>
    <w:lvl w:ilvl="0" w:tplc="3B4C41F6">
      <w:start w:val="1"/>
      <w:numFmt w:val="bullet"/>
      <w:lvlText w:val="-"/>
      <w:lvlJc w:val="left"/>
      <w:pPr>
        <w:ind w:left="720" w:hanging="360"/>
      </w:pPr>
      <w:rPr>
        <w:rFonts w:ascii="SimSun" w:eastAsia="SimSun" w:hAnsi="SimSun"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866DA8"/>
    <w:multiLevelType w:val="hybridMultilevel"/>
    <w:tmpl w:val="120EF2EC"/>
    <w:lvl w:ilvl="0" w:tplc="A09E7378">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D8B3B72"/>
    <w:multiLevelType w:val="hybridMultilevel"/>
    <w:tmpl w:val="E37E08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0D74366"/>
    <w:multiLevelType w:val="hybridMultilevel"/>
    <w:tmpl w:val="471C8FAE"/>
    <w:lvl w:ilvl="0" w:tplc="6EF0726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F901EB"/>
    <w:multiLevelType w:val="hybridMultilevel"/>
    <w:tmpl w:val="E37E08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04F3BBD"/>
    <w:multiLevelType w:val="hybridMultilevel"/>
    <w:tmpl w:val="0562F4F0"/>
    <w:lvl w:ilvl="0" w:tplc="0405000F">
      <w:start w:val="1"/>
      <w:numFmt w:val="decimal"/>
      <w:lvlText w:val="%1."/>
      <w:lvlJc w:val="left"/>
      <w:pPr>
        <w:tabs>
          <w:tab w:val="num" w:pos="360"/>
        </w:tabs>
        <w:ind w:left="360" w:hanging="360"/>
      </w:pPr>
      <w:rPr>
        <w:rFonts w:hint="default"/>
      </w:rPr>
    </w:lvl>
    <w:lvl w:ilvl="1" w:tplc="82905C22">
      <w:start w:val="1"/>
      <w:numFmt w:val="bullet"/>
      <w:lvlText w:val=""/>
      <w:lvlJc w:val="left"/>
      <w:pPr>
        <w:tabs>
          <w:tab w:val="num" w:pos="1080"/>
        </w:tabs>
        <w:ind w:left="1080" w:hanging="360"/>
      </w:pPr>
      <w:rPr>
        <w:rFonts w:ascii="Wingdings" w:hAnsi="Wingdings" w:hint="default"/>
      </w:rPr>
    </w:lvl>
    <w:lvl w:ilvl="2" w:tplc="EEFE4BDC" w:tentative="1">
      <w:start w:val="1"/>
      <w:numFmt w:val="bullet"/>
      <w:lvlText w:val="•"/>
      <w:lvlJc w:val="left"/>
      <w:pPr>
        <w:tabs>
          <w:tab w:val="num" w:pos="1800"/>
        </w:tabs>
        <w:ind w:left="1800" w:hanging="360"/>
      </w:pPr>
      <w:rPr>
        <w:rFonts w:ascii="Arial" w:hAnsi="Arial" w:hint="default"/>
      </w:rPr>
    </w:lvl>
    <w:lvl w:ilvl="3" w:tplc="C8C4A092" w:tentative="1">
      <w:start w:val="1"/>
      <w:numFmt w:val="bullet"/>
      <w:lvlText w:val="•"/>
      <w:lvlJc w:val="left"/>
      <w:pPr>
        <w:tabs>
          <w:tab w:val="num" w:pos="2520"/>
        </w:tabs>
        <w:ind w:left="2520" w:hanging="360"/>
      </w:pPr>
      <w:rPr>
        <w:rFonts w:ascii="Arial" w:hAnsi="Arial" w:hint="default"/>
      </w:rPr>
    </w:lvl>
    <w:lvl w:ilvl="4" w:tplc="AB7EB374" w:tentative="1">
      <w:start w:val="1"/>
      <w:numFmt w:val="bullet"/>
      <w:lvlText w:val="•"/>
      <w:lvlJc w:val="left"/>
      <w:pPr>
        <w:tabs>
          <w:tab w:val="num" w:pos="3240"/>
        </w:tabs>
        <w:ind w:left="3240" w:hanging="360"/>
      </w:pPr>
      <w:rPr>
        <w:rFonts w:ascii="Arial" w:hAnsi="Arial" w:hint="default"/>
      </w:rPr>
    </w:lvl>
    <w:lvl w:ilvl="5" w:tplc="DD8A95F4" w:tentative="1">
      <w:start w:val="1"/>
      <w:numFmt w:val="bullet"/>
      <w:lvlText w:val="•"/>
      <w:lvlJc w:val="left"/>
      <w:pPr>
        <w:tabs>
          <w:tab w:val="num" w:pos="3960"/>
        </w:tabs>
        <w:ind w:left="3960" w:hanging="360"/>
      </w:pPr>
      <w:rPr>
        <w:rFonts w:ascii="Arial" w:hAnsi="Arial" w:hint="default"/>
      </w:rPr>
    </w:lvl>
    <w:lvl w:ilvl="6" w:tplc="41887F7C" w:tentative="1">
      <w:start w:val="1"/>
      <w:numFmt w:val="bullet"/>
      <w:lvlText w:val="•"/>
      <w:lvlJc w:val="left"/>
      <w:pPr>
        <w:tabs>
          <w:tab w:val="num" w:pos="4680"/>
        </w:tabs>
        <w:ind w:left="4680" w:hanging="360"/>
      </w:pPr>
      <w:rPr>
        <w:rFonts w:ascii="Arial" w:hAnsi="Arial" w:hint="default"/>
      </w:rPr>
    </w:lvl>
    <w:lvl w:ilvl="7" w:tplc="194499C8" w:tentative="1">
      <w:start w:val="1"/>
      <w:numFmt w:val="bullet"/>
      <w:lvlText w:val="•"/>
      <w:lvlJc w:val="left"/>
      <w:pPr>
        <w:tabs>
          <w:tab w:val="num" w:pos="5400"/>
        </w:tabs>
        <w:ind w:left="5400" w:hanging="360"/>
      </w:pPr>
      <w:rPr>
        <w:rFonts w:ascii="Arial" w:hAnsi="Arial" w:hint="default"/>
      </w:rPr>
    </w:lvl>
    <w:lvl w:ilvl="8" w:tplc="30B8571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2B22E50"/>
    <w:multiLevelType w:val="hybridMultilevel"/>
    <w:tmpl w:val="8DD247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9D569D"/>
    <w:multiLevelType w:val="hybridMultilevel"/>
    <w:tmpl w:val="220C8C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B627FCE"/>
    <w:multiLevelType w:val="multilevel"/>
    <w:tmpl w:val="FB76A872"/>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879"/>
        </w:tabs>
        <w:ind w:left="879"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5D820E0D"/>
    <w:multiLevelType w:val="hybridMultilevel"/>
    <w:tmpl w:val="3228B7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4F5772"/>
    <w:multiLevelType w:val="multilevel"/>
    <w:tmpl w:val="C14E55E6"/>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5D60E7F"/>
    <w:multiLevelType w:val="hybridMultilevel"/>
    <w:tmpl w:val="8932C71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78831B53"/>
    <w:multiLevelType w:val="hybridMultilevel"/>
    <w:tmpl w:val="1806FD2C"/>
    <w:lvl w:ilvl="0" w:tplc="8BC690B6">
      <w:start w:val="1"/>
      <w:numFmt w:val="lowerLetter"/>
      <w:lvlText w:val="%1)"/>
      <w:lvlJc w:val="left"/>
      <w:pPr>
        <w:ind w:left="360" w:hanging="360"/>
      </w:pPr>
      <w:rPr>
        <w:rFonts w:eastAsia="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DA74962"/>
    <w:multiLevelType w:val="hybridMultilevel"/>
    <w:tmpl w:val="D3B45E1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5"/>
  </w:num>
  <w:num w:numId="2">
    <w:abstractNumId w:val="19"/>
  </w:num>
  <w:num w:numId="3">
    <w:abstractNumId w:val="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7"/>
  </w:num>
  <w:num w:numId="8">
    <w:abstractNumId w:val="18"/>
  </w:num>
  <w:num w:numId="9">
    <w:abstractNumId w:val="25"/>
  </w:num>
  <w:num w:numId="10">
    <w:abstractNumId w:val="9"/>
  </w:num>
  <w:num w:numId="11">
    <w:abstractNumId w:val="24"/>
  </w:num>
  <w:num w:numId="12">
    <w:abstractNumId w:val="1"/>
  </w:num>
  <w:num w:numId="13">
    <w:abstractNumId w:val="0"/>
  </w:num>
  <w:num w:numId="14">
    <w:abstractNumId w:val="22"/>
  </w:num>
  <w:num w:numId="15">
    <w:abstractNumId w:val="6"/>
  </w:num>
  <w:num w:numId="16">
    <w:abstractNumId w:val="15"/>
  </w:num>
  <w:num w:numId="17">
    <w:abstractNumId w:val="14"/>
  </w:num>
  <w:num w:numId="18">
    <w:abstractNumId w:val="8"/>
  </w:num>
  <w:num w:numId="19">
    <w:abstractNumId w:val="17"/>
  </w:num>
  <w:num w:numId="20">
    <w:abstractNumId w:val="26"/>
  </w:num>
  <w:num w:numId="21">
    <w:abstractNumId w:val="13"/>
  </w:num>
  <w:num w:numId="22">
    <w:abstractNumId w:val="23"/>
  </w:num>
  <w:num w:numId="23">
    <w:abstractNumId w:val="16"/>
  </w:num>
  <w:num w:numId="24">
    <w:abstractNumId w:val="2"/>
  </w:num>
  <w:num w:numId="25">
    <w:abstractNumId w:val="12"/>
  </w:num>
  <w:num w:numId="26">
    <w:abstractNumId w:val="11"/>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19"/>
    <w:rsid w:val="00010771"/>
    <w:rsid w:val="00013C1E"/>
    <w:rsid w:val="000309EF"/>
    <w:rsid w:val="00042833"/>
    <w:rsid w:val="000813C3"/>
    <w:rsid w:val="00084D1A"/>
    <w:rsid w:val="000A7D9A"/>
    <w:rsid w:val="000B5EFB"/>
    <w:rsid w:val="000D5FAA"/>
    <w:rsid w:val="000F46A2"/>
    <w:rsid w:val="000F577C"/>
    <w:rsid w:val="001166B3"/>
    <w:rsid w:val="00127F90"/>
    <w:rsid w:val="0013003B"/>
    <w:rsid w:val="0014498D"/>
    <w:rsid w:val="00171C49"/>
    <w:rsid w:val="001F0212"/>
    <w:rsid w:val="00254D26"/>
    <w:rsid w:val="00282294"/>
    <w:rsid w:val="002946FA"/>
    <w:rsid w:val="002A361E"/>
    <w:rsid w:val="002A4BE8"/>
    <w:rsid w:val="002A4C52"/>
    <w:rsid w:val="002B04A7"/>
    <w:rsid w:val="002C108E"/>
    <w:rsid w:val="002C3463"/>
    <w:rsid w:val="00320950"/>
    <w:rsid w:val="00331C3C"/>
    <w:rsid w:val="00342AD6"/>
    <w:rsid w:val="003503D8"/>
    <w:rsid w:val="003646BB"/>
    <w:rsid w:val="00391FE8"/>
    <w:rsid w:val="003B366C"/>
    <w:rsid w:val="003B605D"/>
    <w:rsid w:val="003C1DA0"/>
    <w:rsid w:val="00411FCB"/>
    <w:rsid w:val="00423D24"/>
    <w:rsid w:val="00445480"/>
    <w:rsid w:val="0046486B"/>
    <w:rsid w:val="004730FB"/>
    <w:rsid w:val="00476EAC"/>
    <w:rsid w:val="0049401D"/>
    <w:rsid w:val="004978CD"/>
    <w:rsid w:val="004B1C1C"/>
    <w:rsid w:val="004E1DDD"/>
    <w:rsid w:val="005310CD"/>
    <w:rsid w:val="00541247"/>
    <w:rsid w:val="00546C94"/>
    <w:rsid w:val="00566426"/>
    <w:rsid w:val="0058334E"/>
    <w:rsid w:val="005A2E87"/>
    <w:rsid w:val="005C1ED0"/>
    <w:rsid w:val="00604B71"/>
    <w:rsid w:val="0061045A"/>
    <w:rsid w:val="00641F32"/>
    <w:rsid w:val="00642E2E"/>
    <w:rsid w:val="00650B92"/>
    <w:rsid w:val="0065667C"/>
    <w:rsid w:val="00666D50"/>
    <w:rsid w:val="006900C3"/>
    <w:rsid w:val="00695019"/>
    <w:rsid w:val="006A1ED5"/>
    <w:rsid w:val="006B2EE2"/>
    <w:rsid w:val="006E269D"/>
    <w:rsid w:val="006E7194"/>
    <w:rsid w:val="006F4F39"/>
    <w:rsid w:val="00721F86"/>
    <w:rsid w:val="00723F39"/>
    <w:rsid w:val="0074295C"/>
    <w:rsid w:val="00774FA3"/>
    <w:rsid w:val="007A0C2E"/>
    <w:rsid w:val="007F000A"/>
    <w:rsid w:val="00801967"/>
    <w:rsid w:val="008127D3"/>
    <w:rsid w:val="00831155"/>
    <w:rsid w:val="0083206C"/>
    <w:rsid w:val="00832530"/>
    <w:rsid w:val="00852785"/>
    <w:rsid w:val="008700B6"/>
    <w:rsid w:val="008E2E77"/>
    <w:rsid w:val="00903FDD"/>
    <w:rsid w:val="0091240D"/>
    <w:rsid w:val="00917A04"/>
    <w:rsid w:val="00972213"/>
    <w:rsid w:val="00975179"/>
    <w:rsid w:val="0098663E"/>
    <w:rsid w:val="00991C9A"/>
    <w:rsid w:val="00994869"/>
    <w:rsid w:val="009A6445"/>
    <w:rsid w:val="009B2FD4"/>
    <w:rsid w:val="009B4EA9"/>
    <w:rsid w:val="00A04D77"/>
    <w:rsid w:val="00A70960"/>
    <w:rsid w:val="00AC4C9B"/>
    <w:rsid w:val="00AD325F"/>
    <w:rsid w:val="00AE26DC"/>
    <w:rsid w:val="00B14817"/>
    <w:rsid w:val="00B15BE8"/>
    <w:rsid w:val="00B433F3"/>
    <w:rsid w:val="00B43D5D"/>
    <w:rsid w:val="00B5531D"/>
    <w:rsid w:val="00B81C52"/>
    <w:rsid w:val="00B8779D"/>
    <w:rsid w:val="00B933F8"/>
    <w:rsid w:val="00BB557A"/>
    <w:rsid w:val="00BC0A90"/>
    <w:rsid w:val="00BC672D"/>
    <w:rsid w:val="00CD215B"/>
    <w:rsid w:val="00D17168"/>
    <w:rsid w:val="00D203BD"/>
    <w:rsid w:val="00D21913"/>
    <w:rsid w:val="00D417AA"/>
    <w:rsid w:val="00D66980"/>
    <w:rsid w:val="00D71E34"/>
    <w:rsid w:val="00D97494"/>
    <w:rsid w:val="00DA1CCF"/>
    <w:rsid w:val="00DA3C42"/>
    <w:rsid w:val="00DE4A21"/>
    <w:rsid w:val="00DF2144"/>
    <w:rsid w:val="00DF6D0E"/>
    <w:rsid w:val="00E10168"/>
    <w:rsid w:val="00E240B8"/>
    <w:rsid w:val="00E47929"/>
    <w:rsid w:val="00E50ED6"/>
    <w:rsid w:val="00EA4052"/>
    <w:rsid w:val="00EB31D5"/>
    <w:rsid w:val="00ED7090"/>
    <w:rsid w:val="00EF450E"/>
    <w:rsid w:val="00F2476E"/>
    <w:rsid w:val="00F37642"/>
    <w:rsid w:val="00F84C11"/>
    <w:rsid w:val="00FE6D20"/>
    <w:rsid w:val="00FF5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D6C5"/>
  <w15:docId w15:val="{36F98FCF-08E8-4FD4-B0A5-401F7ACB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019"/>
    <w:pPr>
      <w:spacing w:after="0" w:line="240" w:lineRule="auto"/>
    </w:pPr>
    <w:rPr>
      <w:rFonts w:ascii="Calibri" w:hAnsi="Calibri" w:cs="Times New Roman"/>
    </w:rPr>
  </w:style>
  <w:style w:type="paragraph" w:styleId="Nadpis2">
    <w:name w:val="heading 2"/>
    <w:basedOn w:val="Normln"/>
    <w:link w:val="Nadpis2Char"/>
    <w:uiPriority w:val="9"/>
    <w:semiHidden/>
    <w:unhideWhenUsed/>
    <w:qFormat/>
    <w:rsid w:val="00D66980"/>
    <w:pPr>
      <w:keepNext/>
      <w:spacing w:before="200"/>
      <w:outlineLvl w:val="1"/>
    </w:pPr>
    <w:rPr>
      <w:rFonts w:ascii="Times New Roman" w:hAnsi="Times New Roman"/>
      <w:b/>
      <w:bCs/>
      <w:sz w:val="26"/>
      <w:szCs w:val="26"/>
    </w:rPr>
  </w:style>
  <w:style w:type="paragraph" w:styleId="Nadpis4">
    <w:name w:val="heading 4"/>
    <w:basedOn w:val="Normln"/>
    <w:next w:val="Normln"/>
    <w:link w:val="Nadpis4Char"/>
    <w:uiPriority w:val="9"/>
    <w:semiHidden/>
    <w:unhideWhenUsed/>
    <w:qFormat/>
    <w:rsid w:val="004730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695019"/>
    <w:rPr>
      <w:color w:val="0000FF"/>
      <w:u w:val="single"/>
    </w:rPr>
  </w:style>
  <w:style w:type="paragraph" w:styleId="Bezmezer">
    <w:name w:val="No Spacing"/>
    <w:uiPriority w:val="1"/>
    <w:qFormat/>
    <w:rsid w:val="00695019"/>
    <w:pPr>
      <w:spacing w:after="0" w:line="240" w:lineRule="auto"/>
      <w:jc w:val="both"/>
    </w:pPr>
    <w:rPr>
      <w:rFonts w:ascii="Verdana" w:eastAsia="Times New Roman" w:hAnsi="Verdana" w:cs="Times New Roman"/>
      <w:sz w:val="20"/>
      <w:szCs w:val="24"/>
      <w:lang w:eastAsia="cs-CZ"/>
    </w:rPr>
  </w:style>
  <w:style w:type="character" w:customStyle="1" w:styleId="gmail-il">
    <w:name w:val="gmail-il"/>
    <w:basedOn w:val="Standardnpsmoodstavce"/>
    <w:rsid w:val="00695019"/>
  </w:style>
  <w:style w:type="paragraph" w:styleId="Odstavecseseznamem">
    <w:name w:val="List Paragraph"/>
    <w:basedOn w:val="Normln"/>
    <w:link w:val="OdstavecseseznamemChar"/>
    <w:uiPriority w:val="34"/>
    <w:qFormat/>
    <w:rsid w:val="00B43D5D"/>
    <w:pPr>
      <w:ind w:left="720"/>
      <w:contextualSpacing/>
    </w:pPr>
    <w:rPr>
      <w:rFonts w:ascii="Times New Roman" w:eastAsia="Times New Roman" w:hAnsi="Times New Roman"/>
      <w:sz w:val="24"/>
      <w:szCs w:val="24"/>
      <w:lang w:eastAsia="cs-CZ"/>
    </w:rPr>
  </w:style>
  <w:style w:type="character" w:customStyle="1" w:styleId="OdstavecseseznamemChar">
    <w:name w:val="Odstavec se seznamem Char"/>
    <w:basedOn w:val="Standardnpsmoodstavce"/>
    <w:link w:val="Odstavecseseznamem"/>
    <w:uiPriority w:val="34"/>
    <w:locked/>
    <w:rsid w:val="00B43D5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43D5D"/>
    <w:rPr>
      <w:rFonts w:ascii="Tahoma" w:hAnsi="Tahoma" w:cs="Tahoma"/>
      <w:sz w:val="16"/>
      <w:szCs w:val="16"/>
    </w:rPr>
  </w:style>
  <w:style w:type="character" w:customStyle="1" w:styleId="TextbublinyChar">
    <w:name w:val="Text bubliny Char"/>
    <w:basedOn w:val="Standardnpsmoodstavce"/>
    <w:link w:val="Textbubliny"/>
    <w:uiPriority w:val="99"/>
    <w:semiHidden/>
    <w:rsid w:val="00B43D5D"/>
    <w:rPr>
      <w:rFonts w:ascii="Tahoma" w:hAnsi="Tahoma" w:cs="Tahoma"/>
      <w:sz w:val="16"/>
      <w:szCs w:val="16"/>
    </w:rPr>
  </w:style>
  <w:style w:type="character" w:customStyle="1" w:styleId="Styl1Char">
    <w:name w:val="Styl1 Char"/>
    <w:basedOn w:val="Standardnpsmoodstavce"/>
    <w:link w:val="Styl1"/>
    <w:locked/>
    <w:rsid w:val="00411FCB"/>
    <w:rPr>
      <w:b/>
      <w:sz w:val="32"/>
    </w:rPr>
  </w:style>
  <w:style w:type="paragraph" w:customStyle="1" w:styleId="Styl1">
    <w:name w:val="Styl1"/>
    <w:basedOn w:val="Obsah1"/>
    <w:link w:val="Styl1Char"/>
    <w:qFormat/>
    <w:rsid w:val="00411FCB"/>
    <w:pPr>
      <w:tabs>
        <w:tab w:val="left" w:pos="567"/>
        <w:tab w:val="right" w:leader="dot" w:pos="8777"/>
      </w:tabs>
      <w:spacing w:before="120" w:after="120"/>
      <w:ind w:left="567" w:hanging="567"/>
      <w:jc w:val="center"/>
    </w:pPr>
    <w:rPr>
      <w:rFonts w:asciiTheme="minorHAnsi" w:hAnsiTheme="minorHAnsi" w:cstheme="minorBidi"/>
      <w:b/>
      <w:sz w:val="32"/>
    </w:rPr>
  </w:style>
  <w:style w:type="paragraph" w:styleId="Obsah1">
    <w:name w:val="toc 1"/>
    <w:basedOn w:val="Normln"/>
    <w:next w:val="Normln"/>
    <w:autoRedefine/>
    <w:uiPriority w:val="39"/>
    <w:semiHidden/>
    <w:unhideWhenUsed/>
    <w:rsid w:val="00411FCB"/>
    <w:pPr>
      <w:spacing w:after="100"/>
    </w:pPr>
  </w:style>
  <w:style w:type="paragraph" w:customStyle="1" w:styleId="rovezanadpis">
    <w:name w:val="Úroveň za nadpis"/>
    <w:basedOn w:val="Normln"/>
    <w:link w:val="rovezanadpisChar"/>
    <w:qFormat/>
    <w:rsid w:val="00BC0A90"/>
    <w:pPr>
      <w:tabs>
        <w:tab w:val="left" w:pos="1021"/>
      </w:tabs>
      <w:spacing w:before="60" w:after="60" w:line="276" w:lineRule="auto"/>
      <w:ind w:left="851" w:hanging="851"/>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BC0A90"/>
    <w:rPr>
      <w:rFonts w:ascii="Arial" w:eastAsia="Times New Roman" w:hAnsi="Arial" w:cs="Arial"/>
      <w:color w:val="000000" w:themeColor="text1"/>
      <w:lang w:eastAsia="cs-CZ"/>
    </w:rPr>
  </w:style>
  <w:style w:type="paragraph" w:customStyle="1" w:styleId="Default">
    <w:name w:val="Default"/>
    <w:rsid w:val="00AE26DC"/>
    <w:pPr>
      <w:autoSpaceDE w:val="0"/>
      <w:autoSpaceDN w:val="0"/>
      <w:adjustRightInd w:val="0"/>
      <w:spacing w:after="0" w:line="240" w:lineRule="auto"/>
    </w:pPr>
    <w:rPr>
      <w:rFonts w:ascii="Verdana" w:hAnsi="Verdana" w:cs="Verdana"/>
      <w:color w:val="000000"/>
      <w:sz w:val="24"/>
      <w:szCs w:val="24"/>
    </w:rPr>
  </w:style>
  <w:style w:type="paragraph" w:styleId="Nzev">
    <w:name w:val="Title"/>
    <w:basedOn w:val="Normln"/>
    <w:link w:val="NzevChar"/>
    <w:qFormat/>
    <w:rsid w:val="00BC672D"/>
    <w:pPr>
      <w:jc w:val="center"/>
    </w:pPr>
    <w:rPr>
      <w:rFonts w:ascii="Times New Roman" w:eastAsia="Times New Roman" w:hAnsi="Times New Roman"/>
      <w:b/>
      <w:sz w:val="28"/>
      <w:szCs w:val="20"/>
      <w:lang w:eastAsia="cs-CZ"/>
    </w:rPr>
  </w:style>
  <w:style w:type="character" w:customStyle="1" w:styleId="NzevChar">
    <w:name w:val="Název Char"/>
    <w:basedOn w:val="Standardnpsmoodstavce"/>
    <w:link w:val="Nzev"/>
    <w:rsid w:val="00BC672D"/>
    <w:rPr>
      <w:rFonts w:ascii="Times New Roman" w:eastAsia="Times New Roman" w:hAnsi="Times New Roman" w:cs="Times New Roman"/>
      <w:b/>
      <w:sz w:val="28"/>
      <w:szCs w:val="20"/>
      <w:lang w:eastAsia="cs-CZ"/>
    </w:rPr>
  </w:style>
  <w:style w:type="paragraph" w:styleId="Zkladntext">
    <w:name w:val="Body Text"/>
    <w:basedOn w:val="Normln"/>
    <w:link w:val="ZkladntextChar"/>
    <w:rsid w:val="00331C3C"/>
    <w:pPr>
      <w:jc w:val="both"/>
    </w:pPr>
    <w:rPr>
      <w:rFonts w:ascii="Times New Roman" w:eastAsia="Times New Roman" w:hAnsi="Times New Roman"/>
      <w:sz w:val="20"/>
      <w:szCs w:val="24"/>
      <w:lang w:eastAsia="cs-CZ"/>
    </w:rPr>
  </w:style>
  <w:style w:type="character" w:customStyle="1" w:styleId="ZkladntextChar">
    <w:name w:val="Základní text Char"/>
    <w:basedOn w:val="Standardnpsmoodstavce"/>
    <w:link w:val="Zkladntext"/>
    <w:rsid w:val="00331C3C"/>
    <w:rPr>
      <w:rFonts w:ascii="Times New Roman" w:eastAsia="Times New Roman" w:hAnsi="Times New Roman" w:cs="Times New Roman"/>
      <w:sz w:val="20"/>
      <w:szCs w:val="24"/>
      <w:lang w:eastAsia="cs-CZ"/>
    </w:rPr>
  </w:style>
  <w:style w:type="character" w:styleId="Siln">
    <w:name w:val="Strong"/>
    <w:basedOn w:val="Standardnpsmoodstavce"/>
    <w:uiPriority w:val="22"/>
    <w:qFormat/>
    <w:rsid w:val="00331C3C"/>
    <w:rPr>
      <w:b/>
      <w:bCs/>
    </w:rPr>
  </w:style>
  <w:style w:type="paragraph" w:styleId="Normlnweb">
    <w:name w:val="Normal (Web)"/>
    <w:basedOn w:val="Normln"/>
    <w:uiPriority w:val="99"/>
    <w:unhideWhenUsed/>
    <w:rsid w:val="00331C3C"/>
    <w:pPr>
      <w:spacing w:before="100" w:beforeAutospacing="1" w:after="100" w:afterAutospacing="1"/>
    </w:pPr>
    <w:rPr>
      <w:rFonts w:ascii="Times New Roman" w:eastAsia="Times New Roman" w:hAnsi="Times New Roman"/>
      <w:sz w:val="24"/>
      <w:szCs w:val="24"/>
      <w:lang w:eastAsia="cs-CZ"/>
    </w:rPr>
  </w:style>
  <w:style w:type="paragraph" w:styleId="FormtovanvHTML">
    <w:name w:val="HTML Preformatted"/>
    <w:basedOn w:val="Normln"/>
    <w:link w:val="FormtovanvHTMLChar"/>
    <w:uiPriority w:val="99"/>
    <w:rsid w:val="00331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331C3C"/>
    <w:rPr>
      <w:rFonts w:ascii="Courier New" w:eastAsia="Courier New" w:hAnsi="Courier New" w:cs="Courier New"/>
      <w:sz w:val="20"/>
      <w:szCs w:val="20"/>
      <w:lang w:eastAsia="cs-CZ"/>
    </w:rPr>
  </w:style>
  <w:style w:type="table" w:customStyle="1" w:styleId="TableNormal">
    <w:name w:val="Table Normal"/>
    <w:uiPriority w:val="2"/>
    <w:semiHidden/>
    <w:unhideWhenUsed/>
    <w:qFormat/>
    <w:rsid w:val="00331C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331C3C"/>
    <w:pPr>
      <w:widowControl w:val="0"/>
      <w:autoSpaceDE w:val="0"/>
      <w:autoSpaceDN w:val="0"/>
      <w:ind w:left="137"/>
    </w:pPr>
    <w:rPr>
      <w:rFonts w:ascii="Verdana" w:eastAsia="Verdana" w:hAnsi="Verdana" w:cs="Verdana"/>
      <w:lang w:eastAsia="cs-CZ" w:bidi="cs-CZ"/>
    </w:rPr>
  </w:style>
  <w:style w:type="paragraph" w:styleId="Zkladntext2">
    <w:name w:val="Body Text 2"/>
    <w:basedOn w:val="Normln"/>
    <w:link w:val="Zkladntext2Char"/>
    <w:uiPriority w:val="99"/>
    <w:unhideWhenUsed/>
    <w:rsid w:val="002A361E"/>
    <w:pPr>
      <w:spacing w:after="120" w:line="480" w:lineRule="auto"/>
    </w:pPr>
  </w:style>
  <w:style w:type="character" w:customStyle="1" w:styleId="Zkladntext2Char">
    <w:name w:val="Základní text 2 Char"/>
    <w:basedOn w:val="Standardnpsmoodstavce"/>
    <w:link w:val="Zkladntext2"/>
    <w:uiPriority w:val="99"/>
    <w:rsid w:val="002A361E"/>
    <w:rPr>
      <w:rFonts w:ascii="Calibri" w:hAnsi="Calibri" w:cs="Times New Roman"/>
    </w:rPr>
  </w:style>
  <w:style w:type="paragraph" w:customStyle="1" w:styleId="Text">
    <w:name w:val="Text"/>
    <w:rsid w:val="002A361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cs-CZ"/>
    </w:rPr>
  </w:style>
  <w:style w:type="paragraph" w:customStyle="1" w:styleId="-wm-msonormal">
    <w:name w:val="-wm-msonormal"/>
    <w:basedOn w:val="Normln"/>
    <w:rsid w:val="00DA1CCF"/>
    <w:pPr>
      <w:spacing w:before="100" w:beforeAutospacing="1" w:after="100" w:afterAutospacing="1"/>
    </w:pPr>
    <w:rPr>
      <w:rFonts w:ascii="Times New Roman" w:hAnsi="Times New Roman"/>
      <w:sz w:val="24"/>
      <w:szCs w:val="24"/>
      <w:lang w:eastAsia="cs-CZ"/>
    </w:rPr>
  </w:style>
  <w:style w:type="paragraph" w:styleId="Zkladntextodsazen">
    <w:name w:val="Body Text Indent"/>
    <w:basedOn w:val="Normln"/>
    <w:link w:val="ZkladntextodsazenChar"/>
    <w:uiPriority w:val="99"/>
    <w:semiHidden/>
    <w:unhideWhenUsed/>
    <w:rsid w:val="007F000A"/>
    <w:pPr>
      <w:spacing w:after="120"/>
      <w:ind w:left="283"/>
    </w:pPr>
  </w:style>
  <w:style w:type="character" w:customStyle="1" w:styleId="ZkladntextodsazenChar">
    <w:name w:val="Základní text odsazený Char"/>
    <w:basedOn w:val="Standardnpsmoodstavce"/>
    <w:link w:val="Zkladntextodsazen"/>
    <w:uiPriority w:val="99"/>
    <w:semiHidden/>
    <w:rsid w:val="007F000A"/>
    <w:rPr>
      <w:rFonts w:ascii="Calibri" w:hAnsi="Calibri" w:cs="Times New Roman"/>
    </w:rPr>
  </w:style>
  <w:style w:type="character" w:customStyle="1" w:styleId="Nadpis2Char">
    <w:name w:val="Nadpis 2 Char"/>
    <w:basedOn w:val="Standardnpsmoodstavce"/>
    <w:link w:val="Nadpis2"/>
    <w:uiPriority w:val="9"/>
    <w:semiHidden/>
    <w:rsid w:val="00D66980"/>
    <w:rPr>
      <w:rFonts w:ascii="Times New Roman" w:hAnsi="Times New Roman" w:cs="Times New Roman"/>
      <w:b/>
      <w:bCs/>
      <w:sz w:val="26"/>
      <w:szCs w:val="26"/>
    </w:rPr>
  </w:style>
  <w:style w:type="paragraph" w:styleId="Adresanaoblku">
    <w:name w:val="envelope address"/>
    <w:basedOn w:val="Normln"/>
    <w:unhideWhenUsed/>
    <w:rsid w:val="00B8779D"/>
    <w:pPr>
      <w:framePr w:w="5040" w:h="1980" w:hSpace="141" w:wrap="auto" w:vAnchor="page" w:hAnchor="page" w:x="577" w:y="361"/>
    </w:pPr>
    <w:rPr>
      <w:rFonts w:ascii="Calibri Light" w:eastAsia="Times New Roman" w:hAnsi="Calibri Light"/>
      <w:sz w:val="24"/>
      <w:szCs w:val="24"/>
      <w:lang w:eastAsia="cs-CZ"/>
    </w:rPr>
  </w:style>
  <w:style w:type="paragraph" w:styleId="Zhlav">
    <w:name w:val="header"/>
    <w:basedOn w:val="Normln"/>
    <w:link w:val="ZhlavChar"/>
    <w:rsid w:val="004730FB"/>
    <w:pPr>
      <w:tabs>
        <w:tab w:val="center" w:pos="4536"/>
        <w:tab w:val="right" w:pos="9072"/>
      </w:tabs>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4730FB"/>
    <w:rPr>
      <w:rFonts w:ascii="Times New Roman" w:eastAsia="Times New Roman" w:hAnsi="Times New Roman" w:cs="Times New Roman"/>
      <w:sz w:val="24"/>
      <w:szCs w:val="24"/>
      <w:lang w:eastAsia="cs-CZ"/>
    </w:rPr>
  </w:style>
  <w:style w:type="paragraph" w:styleId="Textpoznpodarou">
    <w:name w:val="footnote text"/>
    <w:basedOn w:val="Normln"/>
    <w:link w:val="TextpoznpodarouChar"/>
    <w:rsid w:val="004730FB"/>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rsid w:val="004730FB"/>
    <w:rPr>
      <w:rFonts w:ascii="Times New Roman" w:eastAsia="Times New Roman" w:hAnsi="Times New Roman" w:cs="Times New Roman"/>
      <w:sz w:val="20"/>
      <w:szCs w:val="20"/>
      <w:lang w:eastAsia="cs-CZ"/>
    </w:rPr>
  </w:style>
  <w:style w:type="character" w:styleId="Znakapoznpodarou">
    <w:name w:val="footnote reference"/>
    <w:rsid w:val="004730FB"/>
    <w:rPr>
      <w:vertAlign w:val="superscript"/>
    </w:rPr>
  </w:style>
  <w:style w:type="paragraph" w:customStyle="1" w:styleId="slalnk">
    <w:name w:val="Čísla článků"/>
    <w:basedOn w:val="Normln"/>
    <w:rsid w:val="004730FB"/>
    <w:pPr>
      <w:keepNext/>
      <w:keepLines/>
      <w:spacing w:before="360" w:after="60"/>
      <w:jc w:val="center"/>
    </w:pPr>
    <w:rPr>
      <w:rFonts w:ascii="Times New Roman" w:eastAsia="Times New Roman" w:hAnsi="Times New Roman"/>
      <w:b/>
      <w:bCs/>
      <w:sz w:val="24"/>
      <w:szCs w:val="20"/>
      <w:lang w:eastAsia="cs-CZ"/>
    </w:rPr>
  </w:style>
  <w:style w:type="paragraph" w:customStyle="1" w:styleId="Nzvylnk">
    <w:name w:val="Názvy článků"/>
    <w:basedOn w:val="slalnk"/>
    <w:rsid w:val="004730FB"/>
    <w:pPr>
      <w:spacing w:before="60" w:after="160"/>
    </w:pPr>
  </w:style>
  <w:style w:type="paragraph" w:customStyle="1" w:styleId="nzevzkona">
    <w:name w:val="název zákona"/>
    <w:basedOn w:val="Nzev"/>
    <w:rsid w:val="004730FB"/>
    <w:pPr>
      <w:spacing w:before="240" w:after="60"/>
      <w:outlineLvl w:val="0"/>
    </w:pPr>
    <w:rPr>
      <w:rFonts w:ascii="Cambria" w:hAnsi="Cambria" w:cs="Cambria"/>
      <w:bCs/>
      <w:kern w:val="28"/>
      <w:sz w:val="32"/>
      <w:szCs w:val="32"/>
    </w:rPr>
  </w:style>
  <w:style w:type="character" w:customStyle="1" w:styleId="Nadpis4Char">
    <w:name w:val="Nadpis 4 Char"/>
    <w:basedOn w:val="Standardnpsmoodstavce"/>
    <w:link w:val="Nadpis4"/>
    <w:uiPriority w:val="9"/>
    <w:semiHidden/>
    <w:rsid w:val="004730FB"/>
    <w:rPr>
      <w:rFonts w:asciiTheme="majorHAnsi" w:eastAsiaTheme="majorEastAsia" w:hAnsiTheme="majorHAnsi" w:cstheme="majorBidi"/>
      <w:i/>
      <w:iCs/>
      <w:color w:val="365F91" w:themeColor="accent1" w:themeShade="BF"/>
    </w:rPr>
  </w:style>
  <w:style w:type="paragraph" w:customStyle="1" w:styleId="n00">
    <w:name w:val="n00"/>
    <w:basedOn w:val="Normln"/>
    <w:rsid w:val="004730FB"/>
    <w:pPr>
      <w:spacing w:before="120"/>
      <w:jc w:val="both"/>
    </w:pPr>
    <w:rPr>
      <w:rFonts w:ascii="Times New Roman" w:eastAsia="Times New Roman" w:hAnsi="Times New Roman"/>
      <w:sz w:val="2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7922">
      <w:bodyDiv w:val="1"/>
      <w:marLeft w:val="0"/>
      <w:marRight w:val="0"/>
      <w:marTop w:val="0"/>
      <w:marBottom w:val="0"/>
      <w:divBdr>
        <w:top w:val="none" w:sz="0" w:space="0" w:color="auto"/>
        <w:left w:val="none" w:sz="0" w:space="0" w:color="auto"/>
        <w:bottom w:val="none" w:sz="0" w:space="0" w:color="auto"/>
        <w:right w:val="none" w:sz="0" w:space="0" w:color="auto"/>
      </w:divBdr>
    </w:div>
    <w:div w:id="316418429">
      <w:bodyDiv w:val="1"/>
      <w:marLeft w:val="0"/>
      <w:marRight w:val="0"/>
      <w:marTop w:val="0"/>
      <w:marBottom w:val="0"/>
      <w:divBdr>
        <w:top w:val="none" w:sz="0" w:space="0" w:color="auto"/>
        <w:left w:val="none" w:sz="0" w:space="0" w:color="auto"/>
        <w:bottom w:val="none" w:sz="0" w:space="0" w:color="auto"/>
        <w:right w:val="none" w:sz="0" w:space="0" w:color="auto"/>
      </w:divBdr>
    </w:div>
    <w:div w:id="505099269">
      <w:bodyDiv w:val="1"/>
      <w:marLeft w:val="0"/>
      <w:marRight w:val="0"/>
      <w:marTop w:val="0"/>
      <w:marBottom w:val="0"/>
      <w:divBdr>
        <w:top w:val="none" w:sz="0" w:space="0" w:color="auto"/>
        <w:left w:val="none" w:sz="0" w:space="0" w:color="auto"/>
        <w:bottom w:val="none" w:sz="0" w:space="0" w:color="auto"/>
        <w:right w:val="none" w:sz="0" w:space="0" w:color="auto"/>
      </w:divBdr>
    </w:div>
    <w:div w:id="530924857">
      <w:bodyDiv w:val="1"/>
      <w:marLeft w:val="0"/>
      <w:marRight w:val="0"/>
      <w:marTop w:val="0"/>
      <w:marBottom w:val="0"/>
      <w:divBdr>
        <w:top w:val="none" w:sz="0" w:space="0" w:color="auto"/>
        <w:left w:val="none" w:sz="0" w:space="0" w:color="auto"/>
        <w:bottom w:val="none" w:sz="0" w:space="0" w:color="auto"/>
        <w:right w:val="none" w:sz="0" w:space="0" w:color="auto"/>
      </w:divBdr>
    </w:div>
    <w:div w:id="598024923">
      <w:bodyDiv w:val="1"/>
      <w:marLeft w:val="0"/>
      <w:marRight w:val="0"/>
      <w:marTop w:val="0"/>
      <w:marBottom w:val="0"/>
      <w:divBdr>
        <w:top w:val="none" w:sz="0" w:space="0" w:color="auto"/>
        <w:left w:val="none" w:sz="0" w:space="0" w:color="auto"/>
        <w:bottom w:val="none" w:sz="0" w:space="0" w:color="auto"/>
        <w:right w:val="none" w:sz="0" w:space="0" w:color="auto"/>
      </w:divBdr>
    </w:div>
    <w:div w:id="692340435">
      <w:bodyDiv w:val="1"/>
      <w:marLeft w:val="0"/>
      <w:marRight w:val="0"/>
      <w:marTop w:val="0"/>
      <w:marBottom w:val="0"/>
      <w:divBdr>
        <w:top w:val="none" w:sz="0" w:space="0" w:color="auto"/>
        <w:left w:val="none" w:sz="0" w:space="0" w:color="auto"/>
        <w:bottom w:val="none" w:sz="0" w:space="0" w:color="auto"/>
        <w:right w:val="none" w:sz="0" w:space="0" w:color="auto"/>
      </w:divBdr>
    </w:div>
    <w:div w:id="891422326">
      <w:bodyDiv w:val="1"/>
      <w:marLeft w:val="0"/>
      <w:marRight w:val="0"/>
      <w:marTop w:val="0"/>
      <w:marBottom w:val="0"/>
      <w:divBdr>
        <w:top w:val="none" w:sz="0" w:space="0" w:color="auto"/>
        <w:left w:val="none" w:sz="0" w:space="0" w:color="auto"/>
        <w:bottom w:val="none" w:sz="0" w:space="0" w:color="auto"/>
        <w:right w:val="none" w:sz="0" w:space="0" w:color="auto"/>
      </w:divBdr>
    </w:div>
    <w:div w:id="1149637500">
      <w:bodyDiv w:val="1"/>
      <w:marLeft w:val="0"/>
      <w:marRight w:val="0"/>
      <w:marTop w:val="0"/>
      <w:marBottom w:val="0"/>
      <w:divBdr>
        <w:top w:val="none" w:sz="0" w:space="0" w:color="auto"/>
        <w:left w:val="none" w:sz="0" w:space="0" w:color="auto"/>
        <w:bottom w:val="none" w:sz="0" w:space="0" w:color="auto"/>
        <w:right w:val="none" w:sz="0" w:space="0" w:color="auto"/>
      </w:divBdr>
    </w:div>
    <w:div w:id="1345521347">
      <w:bodyDiv w:val="1"/>
      <w:marLeft w:val="0"/>
      <w:marRight w:val="0"/>
      <w:marTop w:val="0"/>
      <w:marBottom w:val="0"/>
      <w:divBdr>
        <w:top w:val="none" w:sz="0" w:space="0" w:color="auto"/>
        <w:left w:val="none" w:sz="0" w:space="0" w:color="auto"/>
        <w:bottom w:val="none" w:sz="0" w:space="0" w:color="auto"/>
        <w:right w:val="none" w:sz="0" w:space="0" w:color="auto"/>
      </w:divBdr>
    </w:div>
    <w:div w:id="1410423258">
      <w:bodyDiv w:val="1"/>
      <w:marLeft w:val="0"/>
      <w:marRight w:val="0"/>
      <w:marTop w:val="0"/>
      <w:marBottom w:val="0"/>
      <w:divBdr>
        <w:top w:val="none" w:sz="0" w:space="0" w:color="auto"/>
        <w:left w:val="none" w:sz="0" w:space="0" w:color="auto"/>
        <w:bottom w:val="none" w:sz="0" w:space="0" w:color="auto"/>
        <w:right w:val="none" w:sz="0" w:space="0" w:color="auto"/>
      </w:divBdr>
    </w:div>
    <w:div w:id="1502548615">
      <w:bodyDiv w:val="1"/>
      <w:marLeft w:val="0"/>
      <w:marRight w:val="0"/>
      <w:marTop w:val="0"/>
      <w:marBottom w:val="0"/>
      <w:divBdr>
        <w:top w:val="none" w:sz="0" w:space="0" w:color="auto"/>
        <w:left w:val="none" w:sz="0" w:space="0" w:color="auto"/>
        <w:bottom w:val="none" w:sz="0" w:space="0" w:color="auto"/>
        <w:right w:val="none" w:sz="0" w:space="0" w:color="auto"/>
      </w:divBdr>
    </w:div>
    <w:div w:id="1640450841">
      <w:bodyDiv w:val="1"/>
      <w:marLeft w:val="0"/>
      <w:marRight w:val="0"/>
      <w:marTop w:val="0"/>
      <w:marBottom w:val="0"/>
      <w:divBdr>
        <w:top w:val="none" w:sz="0" w:space="0" w:color="auto"/>
        <w:left w:val="none" w:sz="0" w:space="0" w:color="auto"/>
        <w:bottom w:val="none" w:sz="0" w:space="0" w:color="auto"/>
        <w:right w:val="none" w:sz="0" w:space="0" w:color="auto"/>
      </w:divBdr>
    </w:div>
    <w:div w:id="1664813650">
      <w:bodyDiv w:val="1"/>
      <w:marLeft w:val="0"/>
      <w:marRight w:val="0"/>
      <w:marTop w:val="0"/>
      <w:marBottom w:val="0"/>
      <w:divBdr>
        <w:top w:val="none" w:sz="0" w:space="0" w:color="auto"/>
        <w:left w:val="none" w:sz="0" w:space="0" w:color="auto"/>
        <w:bottom w:val="none" w:sz="0" w:space="0" w:color="auto"/>
        <w:right w:val="none" w:sz="0" w:space="0" w:color="auto"/>
      </w:divBdr>
    </w:div>
    <w:div w:id="1676956347">
      <w:bodyDiv w:val="1"/>
      <w:marLeft w:val="0"/>
      <w:marRight w:val="0"/>
      <w:marTop w:val="0"/>
      <w:marBottom w:val="0"/>
      <w:divBdr>
        <w:top w:val="none" w:sz="0" w:space="0" w:color="auto"/>
        <w:left w:val="none" w:sz="0" w:space="0" w:color="auto"/>
        <w:bottom w:val="none" w:sz="0" w:space="0" w:color="auto"/>
        <w:right w:val="none" w:sz="0" w:space="0" w:color="auto"/>
      </w:divBdr>
    </w:div>
    <w:div w:id="1707678292">
      <w:bodyDiv w:val="1"/>
      <w:marLeft w:val="0"/>
      <w:marRight w:val="0"/>
      <w:marTop w:val="0"/>
      <w:marBottom w:val="0"/>
      <w:divBdr>
        <w:top w:val="none" w:sz="0" w:space="0" w:color="auto"/>
        <w:left w:val="none" w:sz="0" w:space="0" w:color="auto"/>
        <w:bottom w:val="none" w:sz="0" w:space="0" w:color="auto"/>
        <w:right w:val="none" w:sz="0" w:space="0" w:color="auto"/>
      </w:divBdr>
    </w:div>
    <w:div w:id="1739327643">
      <w:bodyDiv w:val="1"/>
      <w:marLeft w:val="0"/>
      <w:marRight w:val="0"/>
      <w:marTop w:val="0"/>
      <w:marBottom w:val="0"/>
      <w:divBdr>
        <w:top w:val="none" w:sz="0" w:space="0" w:color="auto"/>
        <w:left w:val="none" w:sz="0" w:space="0" w:color="auto"/>
        <w:bottom w:val="none" w:sz="0" w:space="0" w:color="auto"/>
        <w:right w:val="none" w:sz="0" w:space="0" w:color="auto"/>
      </w:divBdr>
    </w:div>
    <w:div w:id="20928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kutnahora.cz" TargetMode="External"/><Relationship Id="rId3" Type="http://schemas.openxmlformats.org/officeDocument/2006/relationships/settings" Target="settings.xml"/><Relationship Id="rId7" Type="http://schemas.openxmlformats.org/officeDocument/2006/relationships/hyperlink" Target="https://mu.kutnahora.cz/mu/zapisy-financni-vyb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kutnahora.cz/mu/osadni-vybor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6023</Words>
  <Characters>35536</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Nezbedová Zdeňka</cp:lastModifiedBy>
  <cp:revision>3</cp:revision>
  <cp:lastPrinted>2021-05-14T12:16:00Z</cp:lastPrinted>
  <dcterms:created xsi:type="dcterms:W3CDTF">2021-06-30T11:35:00Z</dcterms:created>
  <dcterms:modified xsi:type="dcterms:W3CDTF">2021-06-30T11:39:00Z</dcterms:modified>
</cp:coreProperties>
</file>